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0" w:after="2" w:afterAutospacing="0"/>
        <w:ind w:left="0" w:firstLine="721"/>
        <w:jc w:val="center"/>
        <w:rPr>
          <w:rFonts w:hint="default" w:ascii="等线" w:hAnsi="等线" w:eastAsia="等线" w:cs="Times New Roman"/>
          <w:kern w:val="2"/>
          <w:sz w:val="21"/>
          <w:szCs w:val="21"/>
        </w:rPr>
      </w:pPr>
      <w:bookmarkStart w:id="0" w:name="_GoBack"/>
      <w:bookmarkEnd w:id="0"/>
      <w:r>
        <w:rPr>
          <w:rFonts w:hint="eastAsia" w:ascii="宋体" w:hAnsi="宋体" w:eastAsia="宋体" w:cs="宋体"/>
          <w:b/>
          <w:bCs/>
          <w:color w:val="000000"/>
          <w:kern w:val="2"/>
          <w:sz w:val="36"/>
          <w:szCs w:val="36"/>
        </w:rPr>
        <w:t>第二部分 2021年度部门决算表</w:t>
      </w:r>
      <w:r>
        <w:rPr>
          <w:rFonts w:hint="default" w:ascii="等线" w:hAnsi="等线" w:eastAsia="等线" w:cs="Times New Roman"/>
          <w:color w:val="000000"/>
          <w:kern w:val="2"/>
          <w:sz w:val="21"/>
          <w:szCs w:val="21"/>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kern w:val="0"/>
          <w:sz w:val="24"/>
          <w:szCs w:val="24"/>
        </w:rPr>
        <w:t xml:space="preserve"> </w:t>
      </w:r>
      <w:r>
        <w:rPr>
          <w:rFonts w:hint="eastAsia" w:ascii="宋体" w:hAnsi="宋体" w:eastAsia="宋体" w:cs="宋体"/>
          <w:i w:val="0"/>
          <w:iCs w:val="0"/>
          <w:caps w:val="0"/>
          <w:color w:val="333333"/>
          <w:spacing w:val="0"/>
          <w:sz w:val="21"/>
          <w:szCs w:val="21"/>
          <w:shd w:val="clear" w:fill="FFFFFF"/>
        </w:rPr>
        <w:t>一、收入支出决算总表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二、收入决算表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三、支出决算表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四、财政拨款收入支出决算总表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五、一般公共预算财政拨款支出决算表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六、一般公共预算财政拨款基本支出决算明细表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七、一般公共预算财政拨款“三公”经费支出决算表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八、政府性基金预算财政拨款收入支出决算表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九、国有资本经营预算财政拨款支出决算表</w:t>
      </w:r>
    </w:p>
    <w:p>
      <w:pPr>
        <w:pStyle w:val="16"/>
        <w:keepNext w:val="0"/>
        <w:keepLines w:val="0"/>
        <w:widowControl/>
        <w:suppressLineNumbers w:val="0"/>
        <w:spacing w:before="0" w:beforeAutospacing="0" w:after="2" w:afterAutospacing="0"/>
        <w:rPr>
          <w:rFonts w:hint="eastAsia" w:ascii="宋体" w:hAnsi="宋体" w:eastAsia="宋体" w:cs="宋体"/>
          <w:kern w:val="0"/>
          <w:sz w:val="24"/>
          <w:szCs w:val="24"/>
        </w:rPr>
      </w:pPr>
    </w:p>
    <w:p>
      <w:pPr>
        <w:spacing w:before="0" w:beforeAutospacing="0" w:after="2" w:afterAutospacing="0"/>
        <w:ind w:left="0" w:right="0"/>
        <w:jc w:val="cente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02"/>
        <w:gridCol w:w="648"/>
        <w:gridCol w:w="2569"/>
        <w:gridCol w:w="4802"/>
        <w:gridCol w:w="648"/>
        <w:gridCol w:w="2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6"/>
            <w:tcBorders>
              <w:top w:val="nil"/>
              <w:left w:val="nil"/>
              <w:bottom w:val="nil"/>
              <w:right w:val="nil"/>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 xml:space="preserve">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202"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799"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497"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002" w:type="pct"/>
            <w:gridSpan w:val="2"/>
            <w:tcBorders>
              <w:top w:val="nil"/>
              <w:left w:val="nil"/>
              <w:bottom w:val="nil"/>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公开01表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997" w:type="pct"/>
            <w:gridSpan w:val="4"/>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部门：中国共产主义青年团长沙市雨花区委员会 </w:t>
            </w:r>
          </w:p>
        </w:tc>
        <w:tc>
          <w:tcPr>
            <w:tcW w:w="1002" w:type="pct"/>
            <w:gridSpan w:val="2"/>
            <w:tcBorders>
              <w:top w:val="nil"/>
              <w:left w:val="nil"/>
              <w:bottom w:val="single" w:color="666666" w:sz="6" w:space="0"/>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0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收入 </w:t>
            </w:r>
          </w:p>
        </w:tc>
        <w:tc>
          <w:tcPr>
            <w:tcW w:w="2500" w:type="pct"/>
            <w:gridSpan w:val="3"/>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行次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金额 </w:t>
            </w: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行次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一、一般公共预算财政拨款收入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126.70 </w:t>
            </w: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一、一般公共服务支出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32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二、政府性基金预算财政拨款收入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二、外交支出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33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三、国有资本经营预算财政拨款收入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三、国防支出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34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四、上级补助收入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四、公共安全支出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35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五、事业收入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五、教育支出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36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六、经营收入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六、科学技术支出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37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七、附属单位上缴收入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7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七、文化旅游体育与传媒支出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38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八、其他收入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八、社会保障和就业支出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39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九、卫生健康支出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40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10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十、节能环保支出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41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11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十一、城乡社区支出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42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十二、农林水支出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43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13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十三、交通运输支出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44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14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十四、资源勘探工业信息等支出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45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15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十五、商业服务业等支出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46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16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十六、金融支出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47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17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十七、援助其他地区支出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48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18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十八、自然资源海洋气象等支出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49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19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十九、住房保障支出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50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二十、粮油物资储备支出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51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21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二十一、国有资本经营预算支出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52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22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二十二、灾害防治及应急管理支出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53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23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二十三、其他支出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54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24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二十四、债务还本支出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55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25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二十五、债务付息支出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56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26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二十六、抗疫特别国债安排的支出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57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本年收入合计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27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126.70 </w:t>
            </w: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本年支出合计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58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126.70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使用非财政拨款结余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28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结余分配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59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年初结转和结余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年末结转和结余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60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61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总计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126.70 </w:t>
            </w: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总计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62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126.70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6"/>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注：本表反映部门本年度的总收支和年末结转结余情况。本表金额转换为万元时，因四舍五入可能存在尾数误差。 </w:t>
            </w:r>
          </w:p>
        </w:tc>
      </w:tr>
    </w:tbl>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br w:type="page"/>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58"/>
        <w:gridCol w:w="359"/>
        <w:gridCol w:w="369"/>
        <w:gridCol w:w="3192"/>
        <w:gridCol w:w="2175"/>
        <w:gridCol w:w="1591"/>
        <w:gridCol w:w="1591"/>
        <w:gridCol w:w="1591"/>
        <w:gridCol w:w="1617"/>
        <w:gridCol w:w="1591"/>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11"/>
            <w:tcBorders>
              <w:top w:val="nil"/>
              <w:left w:val="nil"/>
              <w:bottom w:val="nil"/>
              <w:right w:val="nil"/>
            </w:tcBorders>
            <w:shd w:val="clear" w:color="auto" w:fill="auto"/>
            <w:vAlign w:val="center"/>
          </w:tcPr>
          <w:p>
            <w:pPr>
              <w:spacing w:before="0" w:beforeAutospacing="0" w:after="2" w:afterAutospacing="0"/>
              <w:ind w:left="0" w:right="0"/>
              <w:jc w:val="center"/>
              <w:rPr>
                <w:rFonts w:hint="eastAsia" w:ascii="宋体" w:hAnsi="宋体" w:eastAsia="宋体" w:cs="宋体"/>
                <w:kern w:val="0"/>
                <w:sz w:val="24"/>
                <w:szCs w:val="24"/>
              </w:rPr>
            </w:pPr>
            <w:r>
              <w:rPr>
                <w:rFonts w:hint="default" w:ascii="等线" w:hAnsi="等线" w:eastAsia="等线" w:cs="Times New Roman"/>
                <w:kern w:val="2"/>
                <w:sz w:val="21"/>
                <w:szCs w:val="21"/>
              </w:rPr>
              <w:t xml:space="preserve"> </w:t>
            </w:r>
            <w:r>
              <w:rPr>
                <w:rFonts w:hint="eastAsia" w:ascii="宋体" w:hAnsi="宋体" w:eastAsia="宋体" w:cs="宋体"/>
                <w:b w:val="0"/>
                <w:bCs w:val="0"/>
                <w:kern w:val="0"/>
                <w:sz w:val="40"/>
                <w:szCs w:val="40"/>
              </w:rPr>
              <w:t xml:space="preserve">收入决算表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2"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12"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12"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994"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678"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9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9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9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9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994" w:type="pct"/>
            <w:gridSpan w:val="2"/>
            <w:tcBorders>
              <w:top w:val="nil"/>
              <w:left w:val="nil"/>
              <w:bottom w:val="nil"/>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公开02表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04" w:type="pct"/>
            <w:gridSpan w:val="9"/>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部门：中国共产主义青年团长沙市雨花区委员会 </w:t>
            </w:r>
          </w:p>
        </w:tc>
        <w:tc>
          <w:tcPr>
            <w:tcW w:w="994" w:type="pct"/>
            <w:gridSpan w:val="2"/>
            <w:tcBorders>
              <w:top w:val="nil"/>
              <w:left w:val="nil"/>
              <w:bottom w:val="nil"/>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本年收入合计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财政拨款收入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上级补助收入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事业收入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经营收入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附属单位上缴收入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其他收入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功能分类科目编码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126.70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126.70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一般公共服务支出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126.70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126.70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20129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群众团体事务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126.70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126.70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2012901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行政运行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91.43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91.43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2012902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一般行政管理事务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35.27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35.27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11"/>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注：本表反映部门本年度取得的各项收入情况。本表金额转换为万元时，因四舍五入可能存在尾数误差。 </w:t>
            </w:r>
          </w:p>
        </w:tc>
      </w:tr>
    </w:tbl>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br w:type="page"/>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0"/>
        <w:gridCol w:w="401"/>
        <w:gridCol w:w="401"/>
        <w:gridCol w:w="3551"/>
        <w:gridCol w:w="2415"/>
        <w:gridCol w:w="1771"/>
        <w:gridCol w:w="1771"/>
        <w:gridCol w:w="1777"/>
        <w:gridCol w:w="1771"/>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10"/>
            <w:tcBorders>
              <w:top w:val="nil"/>
              <w:left w:val="nil"/>
              <w:bottom w:val="nil"/>
              <w:right w:val="nil"/>
            </w:tcBorders>
            <w:shd w:val="clear" w:color="auto" w:fill="auto"/>
            <w:vAlign w:val="center"/>
          </w:tcPr>
          <w:p>
            <w:pPr>
              <w:spacing w:before="0" w:beforeAutospacing="0" w:after="2" w:afterAutospacing="0"/>
              <w:ind w:left="0" w:right="0"/>
              <w:jc w:val="center"/>
              <w:rPr>
                <w:rFonts w:hint="eastAsia" w:ascii="宋体" w:hAnsi="宋体" w:eastAsia="宋体" w:cs="宋体"/>
                <w:kern w:val="0"/>
                <w:sz w:val="24"/>
                <w:szCs w:val="24"/>
              </w:rPr>
            </w:pPr>
            <w:r>
              <w:rPr>
                <w:rFonts w:hint="default" w:ascii="等线" w:hAnsi="等线" w:eastAsia="等线" w:cs="Times New Roman"/>
                <w:kern w:val="2"/>
                <w:sz w:val="21"/>
                <w:szCs w:val="21"/>
              </w:rPr>
              <w:t xml:space="preserve"> </w:t>
            </w:r>
            <w:r>
              <w:rPr>
                <w:rFonts w:hint="eastAsia" w:ascii="宋体" w:hAnsi="宋体" w:eastAsia="宋体" w:cs="宋体"/>
                <w:b w:val="0"/>
                <w:bCs w:val="0"/>
                <w:kern w:val="0"/>
                <w:sz w:val="40"/>
                <w:szCs w:val="40"/>
              </w:rPr>
              <w:t xml:space="preserve">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25"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25"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25"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105"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753"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552"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552"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552"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105" w:type="pct"/>
            <w:gridSpan w:val="2"/>
            <w:tcBorders>
              <w:top w:val="nil"/>
              <w:left w:val="nil"/>
              <w:bottom w:val="nil"/>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公开03表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893" w:type="pct"/>
            <w:gridSpan w:val="8"/>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部门：中国共产主义青年团长沙市雨花区委员会 </w:t>
            </w:r>
          </w:p>
        </w:tc>
        <w:tc>
          <w:tcPr>
            <w:tcW w:w="1105" w:type="pct"/>
            <w:gridSpan w:val="2"/>
            <w:tcBorders>
              <w:top w:val="nil"/>
              <w:left w:val="nil"/>
              <w:bottom w:val="nil"/>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本年支出合计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基本支出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上缴上级支出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经营支出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对附属单位补助支出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功能分类科目编码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126.70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91.43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35.27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一般公共服务支出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126.70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91.43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35.27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20129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群众团体事务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126.70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91.43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35.27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2012901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行政运行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91.43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91.43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2012902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一般行政管理事务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35.27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35.27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10"/>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注：本表反映部门本年度各项支出情况。本表金额转换为万元时，因四舍五入可能存在尾数误差。 </w:t>
            </w:r>
          </w:p>
        </w:tc>
      </w:tr>
    </w:tbl>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br w:type="page"/>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204"/>
        <w:gridCol w:w="529"/>
        <w:gridCol w:w="1559"/>
        <w:gridCol w:w="3692"/>
        <w:gridCol w:w="529"/>
        <w:gridCol w:w="2130"/>
        <w:gridCol w:w="1463"/>
        <w:gridCol w:w="1459"/>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color="auto" w:fill="auto"/>
            <w:vAlign w:val="center"/>
          </w:tcPr>
          <w:p>
            <w:pPr>
              <w:spacing w:before="0" w:beforeAutospacing="0" w:after="2" w:afterAutospacing="0"/>
              <w:ind w:left="0" w:right="0"/>
              <w:jc w:val="center"/>
              <w:rPr>
                <w:rFonts w:hint="eastAsia" w:ascii="宋体" w:hAnsi="宋体" w:eastAsia="宋体" w:cs="宋体"/>
                <w:kern w:val="0"/>
                <w:sz w:val="24"/>
                <w:szCs w:val="24"/>
              </w:rPr>
            </w:pPr>
            <w:r>
              <w:rPr>
                <w:rFonts w:hint="default" w:ascii="等线" w:hAnsi="等线" w:eastAsia="等线" w:cs="Times New Roman"/>
                <w:kern w:val="2"/>
                <w:sz w:val="21"/>
                <w:szCs w:val="21"/>
              </w:rPr>
              <w:t xml:space="preserve"> </w:t>
            </w:r>
            <w:r>
              <w:rPr>
                <w:rFonts w:hint="eastAsia" w:ascii="宋体" w:hAnsi="宋体" w:eastAsia="宋体" w:cs="宋体"/>
                <w:b w:val="0"/>
                <w:bCs w:val="0"/>
                <w:kern w:val="0"/>
                <w:sz w:val="40"/>
                <w:szCs w:val="40"/>
              </w:rPr>
              <w:t xml:space="preserve">财政拨款收入支出决算总表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65"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8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151"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65"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664"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55"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911" w:type="pct"/>
            <w:gridSpan w:val="2"/>
            <w:tcBorders>
              <w:top w:val="nil"/>
              <w:left w:val="nil"/>
              <w:bottom w:val="nil"/>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公开04表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6" w:type="pct"/>
            <w:gridSpan w:val="7"/>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部门：中国共产主义青年团长沙市雨花区委员会 </w:t>
            </w:r>
          </w:p>
        </w:tc>
        <w:tc>
          <w:tcPr>
            <w:tcW w:w="911" w:type="pct"/>
            <w:gridSpan w:val="2"/>
            <w:tcBorders>
              <w:top w:val="nil"/>
              <w:left w:val="nil"/>
              <w:bottom w:val="single" w:color="666666" w:sz="6" w:space="0"/>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65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收 入 </w:t>
            </w:r>
          </w:p>
        </w:tc>
        <w:tc>
          <w:tcPr>
            <w:tcW w:w="3349" w:type="pct"/>
            <w:gridSpan w:val="6"/>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金额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一般公共预算财政拨款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政府性基金预算财政拨款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国有资本经营预算财政拨款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一、一般公共预算财政拨款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126.70 </w:t>
            </w: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一、一般公共服务支出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33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126.70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126.70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二、政府性基金预算财政拨款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二、外交支出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34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三、国有资本经营财政拨款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三、国防支出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35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四、公共安全支出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36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五、教育支出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37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六、科学技术支出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38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7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七、文化旅游体育与传媒支出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39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八、社会保障和就业支出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40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九、卫生健康支出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41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10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十、节能环保支出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42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11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十一、城乡社区支出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43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十二、农林水支出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44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13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十三、交通运输支出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45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14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十四、资源勘探工业信息等支出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46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15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十五、商业服务业等支出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47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16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十六、金融支出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48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17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十七、援助其他地区支出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49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18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十八、自然资源海洋气象等支出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50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19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十九、住房保障支出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51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二十、粮油物资储备支出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52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21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二十一、国有资本经营预算支出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53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22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二十二、灾害防治及应急管理支出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54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23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二十三、其他支出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55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24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二十四、债务还本支出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56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25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二十五、债务付息支出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57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26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二十六、抗疫特别国债安排的支出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58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本年收入合计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27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126.70 </w:t>
            </w: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本年支出合计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59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126.70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126.70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年初财政拨款结转和结余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28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年末财政拨款结转和结余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60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一般公共预算财政拨款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61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政府性基金预算财政拨款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62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国有资本经营预算财政拨款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63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总计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32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126.70 </w:t>
            </w: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总计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64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126.70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126.70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rPr>
          <w:rFonts w:hint="default" w:ascii="等线" w:hAnsi="等线" w:eastAsia="等线" w:cs="Times New Roman"/>
          <w:kern w:val="2"/>
          <w:sz w:val="21"/>
          <w:szCs w:val="21"/>
        </w:rPr>
      </w:pPr>
      <w:r>
        <w:rPr>
          <w:rFonts w:hint="default" w:ascii="等线" w:hAnsi="等线" w:eastAsia="等线" w:cs="Times New Roman"/>
          <w:kern w:val="2"/>
          <w:sz w:val="21"/>
          <w:szCs w:val="21"/>
        </w:rPr>
        <w:br w:type="page"/>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2"/>
        <w:gridCol w:w="452"/>
        <w:gridCol w:w="455"/>
        <w:gridCol w:w="5398"/>
        <w:gridCol w:w="3092"/>
        <w:gridCol w:w="3093"/>
        <w:gridCol w:w="3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7"/>
            <w:tcBorders>
              <w:top w:val="nil"/>
              <w:left w:val="nil"/>
              <w:bottom w:val="nil"/>
              <w:right w:val="nil"/>
            </w:tcBorders>
            <w:shd w:val="clear" w:color="auto" w:fill="auto"/>
            <w:vAlign w:val="center"/>
          </w:tcPr>
          <w:p>
            <w:pPr>
              <w:pStyle w:val="16"/>
              <w:keepNext w:val="0"/>
              <w:keepLines w:val="0"/>
              <w:widowControl/>
              <w:suppressLineNumbers w:val="0"/>
              <w:ind w:left="0" w:leftChars="0" w:right="0" w:rightChars="0" w:firstLine="0" w:firstLineChars="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1"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41"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41"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682"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964"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928" w:type="pct"/>
            <w:gridSpan w:val="2"/>
            <w:tcBorders>
              <w:top w:val="nil"/>
              <w:left w:val="nil"/>
              <w:bottom w:val="nil"/>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公开05表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071" w:type="pct"/>
            <w:gridSpan w:val="5"/>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部门：中国共产主义青年团长沙市雨花区委员会 </w:t>
            </w:r>
          </w:p>
        </w:tc>
        <w:tc>
          <w:tcPr>
            <w:tcW w:w="1928" w:type="pct"/>
            <w:gridSpan w:val="2"/>
            <w:tcBorders>
              <w:top w:val="nil"/>
              <w:left w:val="nil"/>
              <w:bottom w:val="single" w:color="666666" w:sz="6" w:space="0"/>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2892" w:type="pct"/>
            <w:gridSpan w:val="3"/>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4" w:type="pct"/>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功能分类科目编码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小计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基本支出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4"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4"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126.70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91.43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35.27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一般公共服务支出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126.70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91.43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35.27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20129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群众团体事务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126.70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91.43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35.27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2012901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行政运行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91.43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91.43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2012902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一般行政管理事务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35.27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35.27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7"/>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注：本表反映部门本年度一般公共预算财政拨款支出情况。本表金额转换为万元时，因四舍五入可能存在尾数误差。 </w:t>
            </w:r>
          </w:p>
        </w:tc>
      </w:tr>
    </w:tbl>
    <w:p>
      <w:pPr>
        <w:rPr>
          <w:rFonts w:hint="default" w:ascii="等线" w:hAnsi="等线" w:eastAsia="等线" w:cs="Times New Roman"/>
          <w:kern w:val="2"/>
          <w:sz w:val="21"/>
          <w:szCs w:val="21"/>
        </w:rPr>
      </w:pPr>
      <w:r>
        <w:rPr>
          <w:rFonts w:hint="default" w:ascii="等线" w:hAnsi="等线" w:eastAsia="等线" w:cs="Times New Roman"/>
          <w:kern w:val="2"/>
          <w:sz w:val="21"/>
          <w:szCs w:val="21"/>
        </w:rPr>
        <w:br w:type="page"/>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8"/>
        <w:gridCol w:w="3380"/>
        <w:gridCol w:w="1726"/>
        <w:gridCol w:w="719"/>
        <w:gridCol w:w="2656"/>
        <w:gridCol w:w="1726"/>
        <w:gridCol w:w="725"/>
        <w:gridCol w:w="2659"/>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color="auto" w:fill="auto"/>
            <w:vAlign w:val="center"/>
          </w:tcPr>
          <w:p>
            <w:pPr>
              <w:pStyle w:val="16"/>
              <w:keepNext w:val="0"/>
              <w:keepLines w:val="0"/>
              <w:widowControl/>
              <w:suppressLineNumbers w:val="0"/>
              <w:ind w:left="0" w:leftChars="0" w:right="0" w:rightChars="0" w:firstLine="0" w:firstLineChars="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053"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538"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224"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828"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538"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224"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366" w:type="pct"/>
            <w:gridSpan w:val="2"/>
            <w:tcBorders>
              <w:top w:val="nil"/>
              <w:left w:val="nil"/>
              <w:bottom w:val="nil"/>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18"/>
                <w:szCs w:val="18"/>
              </w:rPr>
              <w:t xml:space="preserve">公开06表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632" w:type="pct"/>
            <w:gridSpan w:val="7"/>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部门：中国共产主义青年团长沙市雨花区委员会 </w:t>
            </w:r>
          </w:p>
        </w:tc>
        <w:tc>
          <w:tcPr>
            <w:tcW w:w="1366" w:type="pct"/>
            <w:gridSpan w:val="2"/>
            <w:tcBorders>
              <w:top w:val="nil"/>
              <w:left w:val="nil"/>
              <w:bottom w:val="single" w:color="666666" w:sz="6" w:space="0"/>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18"/>
                <w:szCs w:val="18"/>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81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人员经费 </w:t>
            </w:r>
          </w:p>
        </w:tc>
        <w:tc>
          <w:tcPr>
            <w:tcW w:w="3182" w:type="pct"/>
            <w:gridSpan w:val="6"/>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公用经费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科目编码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决算数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科目编码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决算数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科目编码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301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工资福利支出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87.24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302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商品和服务支出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4.19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307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债务利息及费用支出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30101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基本工资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10.13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30201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办公费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0.29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30701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国内债务付息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30102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津贴补贴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7.64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30202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印刷费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30702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国外债务付息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30103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奖金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37.52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30203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咨询费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310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资本性支出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30106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伙食补助费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30204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手续费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31001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房屋建筑物购建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30107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绩效工资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30205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水费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31002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办公设备购置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30108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机关事业单位基本养老保险缴费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2.08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30206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电费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31003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专用设备购置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30109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职业年金缴费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30207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邮电费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0.22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31005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基础设施建设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30110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职工基本医疗保险缴费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30208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取暖费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31006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大型修缮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30111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公务员医疗补助缴费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物业管理费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31007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信息网络及软件购置更新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30112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其他社会保障缴费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30211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差旅费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31008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物资储备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30113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住房公积金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4.97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30212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因公出国（境）费用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土地补偿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30114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医疗费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30213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维修（护）费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31010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安置补助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30199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其他工资福利支出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24.90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30214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租赁费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31011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地上附着物和青苗补偿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303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对个人和家庭的补助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30215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会议费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31012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拆迁补偿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30301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离休费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30216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培训费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31013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30302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退休费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30217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公务接待费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31019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其他交通工具购置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30303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退职（役）费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30218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专用材料费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31021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文物和陈列品购置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30304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抚恤金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30224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被装购置费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31022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无形资产购置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30305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生活补助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30225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专用燃料费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31099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其他资本性支出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30306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救济费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30226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劳务费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399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其他支出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30307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医疗费补助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30227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委托业务费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39906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赠与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30308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助学金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30228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工会经费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0.91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39907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国家赔偿费用支出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30309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奖励金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30229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福利费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39908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对民间非营利组织和群众性自治组织补贴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30310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个人农业生产补贴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30231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公务用车运行维护费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39999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30311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代缴社会保险费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30239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其他交通费用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30399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其他对个人和家庭的补助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30240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税金及附加费用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30299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其他商品和服务支出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2.77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278" w:type="pct"/>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人员经费合计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87.24 </w:t>
            </w:r>
          </w:p>
        </w:tc>
        <w:tc>
          <w:tcPr>
            <w:tcW w:w="2645" w:type="pct"/>
            <w:gridSpan w:val="5"/>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公用经费合计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4.19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注：本表反映部门本年度一般公共预算财政拨款基本支出明细情况。本表金额转换为万元时，因四舍五入可能存在尾数误差。 </w:t>
            </w:r>
          </w:p>
        </w:tc>
      </w:tr>
    </w:tbl>
    <w:p>
      <w:pPr>
        <w:rPr>
          <w:rFonts w:hint="default" w:ascii="等线" w:hAnsi="等线" w:eastAsia="等线" w:cs="Times New Roman"/>
          <w:kern w:val="2"/>
          <w:sz w:val="21"/>
          <w:szCs w:val="21"/>
        </w:rPr>
      </w:pPr>
      <w:r>
        <w:rPr>
          <w:rFonts w:hint="default" w:ascii="等线" w:hAnsi="等线" w:eastAsia="等线" w:cs="Times New Roman"/>
          <w:kern w:val="2"/>
          <w:sz w:val="21"/>
          <w:szCs w:val="21"/>
        </w:rPr>
        <w:br w:type="page"/>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12"/>
            <w:tcBorders>
              <w:top w:val="nil"/>
              <w:left w:val="nil"/>
              <w:bottom w:val="nil"/>
              <w:right w:val="nil"/>
            </w:tcBorders>
            <w:shd w:val="clear" w:color="auto" w:fill="auto"/>
            <w:vAlign w:val="center"/>
          </w:tcPr>
          <w:p>
            <w:pPr>
              <w:pStyle w:val="16"/>
              <w:keepNext w:val="0"/>
              <w:keepLines w:val="0"/>
              <w:widowControl/>
              <w:suppressLineNumbers w:val="0"/>
              <w:ind w:left="0" w:leftChars="0" w:right="0" w:rightChars="0" w:firstLine="0" w:firstLineChars="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833" w:type="pct"/>
            <w:gridSpan w:val="2"/>
            <w:tcBorders>
              <w:top w:val="nil"/>
              <w:left w:val="nil"/>
              <w:bottom w:val="nil"/>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公开07表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6" w:type="pct"/>
            <w:gridSpan w:val="10"/>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部门：中国共产主义青年团长沙市雨花区委员会 </w:t>
            </w:r>
          </w:p>
        </w:tc>
        <w:tc>
          <w:tcPr>
            <w:tcW w:w="833" w:type="pct"/>
            <w:gridSpan w:val="2"/>
            <w:tcBorders>
              <w:top w:val="nil"/>
              <w:left w:val="nil"/>
              <w:bottom w:val="single" w:color="666666" w:sz="6" w:space="0"/>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00"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预算数 </w:t>
            </w:r>
          </w:p>
        </w:tc>
        <w:tc>
          <w:tcPr>
            <w:tcW w:w="2500" w:type="pct"/>
            <w:gridSpan w:val="6"/>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因公出国（境）费 </w:t>
            </w:r>
          </w:p>
        </w:tc>
        <w:tc>
          <w:tcPr>
            <w:tcW w:w="1250" w:type="pct"/>
            <w:gridSpan w:val="3"/>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公务接待费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因公出国（境）费 </w:t>
            </w:r>
          </w:p>
        </w:tc>
        <w:tc>
          <w:tcPr>
            <w:tcW w:w="1250" w:type="pct"/>
            <w:gridSpan w:val="3"/>
            <w:tcBorders>
              <w:top w:val="single" w:color="666666" w:sz="6" w:space="0"/>
              <w:left w:val="nil"/>
              <w:bottom w:val="nil"/>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小计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公务用车购置费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公务用车运行费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小计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公务用车购置费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公务用车运行费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7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11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12"/>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rPr>
          <w:rFonts w:hint="default" w:ascii="等线" w:hAnsi="等线" w:eastAsia="等线" w:cs="Times New Roman"/>
          <w:kern w:val="2"/>
          <w:sz w:val="21"/>
          <w:szCs w:val="21"/>
        </w:rPr>
      </w:pPr>
      <w:r>
        <w:rPr>
          <w:rFonts w:hint="default" w:ascii="等线" w:hAnsi="等线" w:eastAsia="等线" w:cs="Times New Roman"/>
          <w:kern w:val="2"/>
          <w:sz w:val="21"/>
          <w:szCs w:val="21"/>
        </w:rPr>
        <w:br w:type="page"/>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3"/>
        <w:gridCol w:w="334"/>
        <w:gridCol w:w="334"/>
        <w:gridCol w:w="3458"/>
        <w:gridCol w:w="1180"/>
        <w:gridCol w:w="1969"/>
        <w:gridCol w:w="1075"/>
        <w:gridCol w:w="1524"/>
        <w:gridCol w:w="1517"/>
        <w:gridCol w:w="4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10"/>
            <w:tcBorders>
              <w:top w:val="nil"/>
              <w:left w:val="nil"/>
              <w:bottom w:val="nil"/>
              <w:right w:val="nil"/>
            </w:tcBorders>
            <w:shd w:val="clear" w:color="auto" w:fill="auto"/>
            <w:vAlign w:val="center"/>
          </w:tcPr>
          <w:p>
            <w:pPr>
              <w:pStyle w:val="16"/>
              <w:keepNext w:val="0"/>
              <w:keepLines w:val="0"/>
              <w:widowControl/>
              <w:suppressLineNumbers w:val="0"/>
              <w:ind w:left="0" w:leftChars="0" w:right="0" w:rightChars="0" w:firstLine="0" w:firstLineChars="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4"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04"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04"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078"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368"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614"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335"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473"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816" w:type="pct"/>
            <w:gridSpan w:val="2"/>
            <w:tcBorders>
              <w:top w:val="nil"/>
              <w:left w:val="nil"/>
              <w:bottom w:val="nil"/>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公开08表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182" w:type="pct"/>
            <w:gridSpan w:val="8"/>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部门：中国共产主义青年团长沙市雨花区委员会 </w:t>
            </w:r>
          </w:p>
        </w:tc>
        <w:tc>
          <w:tcPr>
            <w:tcW w:w="1816" w:type="pct"/>
            <w:gridSpan w:val="2"/>
            <w:tcBorders>
              <w:top w:val="nil"/>
              <w:left w:val="nil"/>
              <w:bottom w:val="nil"/>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年初结转和结余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本年收入 </w:t>
            </w:r>
          </w:p>
        </w:tc>
        <w:tc>
          <w:tcPr>
            <w:tcW w:w="1281" w:type="pct"/>
            <w:gridSpan w:val="3"/>
            <w:tcBorders>
              <w:top w:val="single" w:color="666666" w:sz="6" w:space="0"/>
              <w:left w:val="nil"/>
              <w:bottom w:val="nil"/>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本年支出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年末结转和结余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12" w:type="pct"/>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功能分类科目编码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restart"/>
            <w:tcBorders>
              <w:top w:val="nil"/>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小计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基本支出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项目支出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12"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12"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10"/>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注：本表反映部门本年度政府性基金预算财政拨款收入、支出及结转和结余情况。本表金额转换为万元时，因四舍五入可能存在尾数误差。 </w:t>
            </w:r>
          </w:p>
        </w:tc>
      </w:tr>
    </w:tbl>
    <w:p>
      <w:pPr>
        <w:rPr>
          <w:rFonts w:hint="default" w:ascii="等线" w:hAnsi="等线" w:eastAsia="等线" w:cs="Times New Roman"/>
          <w:kern w:val="2"/>
          <w:sz w:val="21"/>
          <w:szCs w:val="21"/>
        </w:rPr>
      </w:pPr>
      <w:r>
        <w:rPr>
          <w:rFonts w:hint="default" w:ascii="等线" w:hAnsi="等线" w:eastAsia="等线" w:cs="Times New Roman"/>
          <w:kern w:val="2"/>
          <w:sz w:val="21"/>
          <w:szCs w:val="21"/>
        </w:rPr>
        <w:br w:type="page"/>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29"/>
        <w:gridCol w:w="529"/>
        <w:gridCol w:w="532"/>
        <w:gridCol w:w="6329"/>
        <w:gridCol w:w="2707"/>
        <w:gridCol w:w="2704"/>
        <w:gridCol w:w="2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00" w:type="pct"/>
            <w:gridSpan w:val="7"/>
            <w:tcBorders>
              <w:top w:val="nil"/>
              <w:left w:val="nil"/>
              <w:bottom w:val="nil"/>
              <w:right w:val="nil"/>
            </w:tcBorders>
            <w:shd w:val="clear" w:color="auto" w:fill="auto"/>
            <w:vAlign w:val="center"/>
          </w:tcPr>
          <w:p>
            <w:pPr>
              <w:pStyle w:val="16"/>
              <w:keepNext w:val="0"/>
              <w:keepLines w:val="0"/>
              <w:widowControl/>
              <w:suppressLineNumbers w:val="0"/>
              <w:ind w:left="0" w:leftChars="0" w:right="0" w:rightChars="0" w:firstLine="0" w:firstLineChars="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65"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65"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65"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971"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843" w:type="pct"/>
            <w:tcBorders>
              <w:top w:val="nil"/>
              <w:left w:val="nil"/>
              <w:bottom w:val="nil"/>
              <w:right w:val="nil"/>
            </w:tcBorders>
            <w:shd w:val="clear" w:color="auto" w:fill="auto"/>
            <w:vAlign w:val="center"/>
          </w:tcPr>
          <w:p>
            <w:pPr>
              <w:pStyle w:val="16"/>
              <w:keepNext w:val="0"/>
              <w:keepLines w:val="0"/>
              <w:widowControl/>
              <w:suppressLineNumbers w:val="0"/>
              <w:rPr>
                <w:rFonts w:hint="eastAsia" w:ascii="宋体" w:hAnsi="宋体" w:eastAsia="宋体" w:cs="宋体"/>
                <w:kern w:val="0"/>
                <w:sz w:val="24"/>
                <w:szCs w:val="24"/>
              </w:rPr>
            </w:pPr>
          </w:p>
        </w:tc>
        <w:tc>
          <w:tcPr>
            <w:tcW w:w="1686" w:type="pct"/>
            <w:gridSpan w:val="2"/>
            <w:tcBorders>
              <w:top w:val="nil"/>
              <w:left w:val="nil"/>
              <w:bottom w:val="nil"/>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公开09表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13" w:type="pct"/>
            <w:gridSpan w:val="5"/>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部门：中国共产主义青年团长沙市雨花区委员会 </w:t>
            </w:r>
          </w:p>
        </w:tc>
        <w:tc>
          <w:tcPr>
            <w:tcW w:w="1686" w:type="pct"/>
            <w:gridSpan w:val="2"/>
            <w:tcBorders>
              <w:top w:val="nil"/>
              <w:left w:val="nil"/>
              <w:bottom w:val="single" w:color="666666" w:sz="6" w:space="0"/>
              <w:right w:val="nil"/>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2530" w:type="pct"/>
            <w:gridSpan w:val="3"/>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6" w:type="pct"/>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功能分类科目编码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基本支出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96"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6"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6"/>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7"/>
            <w:tcBorders>
              <w:top w:val="nil"/>
              <w:left w:val="nil"/>
              <w:bottom w:val="nil"/>
              <w:right w:val="nil"/>
            </w:tcBorders>
            <w:shd w:val="clear" w:color="auto" w:fill="auto"/>
            <w:vAlign w:val="center"/>
          </w:tcPr>
          <w:p>
            <w:pPr>
              <w:pStyle w:val="16"/>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注：本表反映部门本年度国有资本经营预算财政拨款支出情况。本表金额转换为万元时，因四舍五入可能存在尾数误差。 </w:t>
            </w:r>
          </w:p>
        </w:tc>
      </w:tr>
    </w:tbl>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eastAsia" w:ascii="宋体" w:hAnsi="宋体" w:eastAsia="宋体" w:cs="宋体"/>
          <w:b/>
          <w:bCs/>
          <w:color w:val="000000"/>
          <w:kern w:val="2"/>
          <w:sz w:val="36"/>
          <w:szCs w:val="36"/>
        </w:rPr>
        <w:sectPr>
          <w:pgSz w:w="16838" w:h="11906"/>
          <w:pgMar w:top="1080" w:right="400" w:bottom="1080" w:left="400" w:header="851" w:footer="992" w:gutter="0"/>
          <w:cols w:space="0" w:num="1"/>
          <w:docGrid w:type="lines" w:linePitch="160" w:charSpace="0"/>
        </w:sectPr>
      </w:pPr>
    </w:p>
    <w:p>
      <w:pPr>
        <w:spacing w:before="0" w:beforeAutospacing="0" w:after="2" w:afterAutospacing="0"/>
        <w:jc w:val="center"/>
        <w:rPr>
          <w:rFonts w:hint="default" w:ascii="等线" w:hAnsi="等线" w:eastAsia="等线" w:cs="Times New Roman"/>
          <w:kern w:val="2"/>
          <w:sz w:val="21"/>
          <w:szCs w:val="21"/>
        </w:rPr>
      </w:pPr>
    </w:p>
    <w:sectPr>
      <w:pgSz w:w="11906" w:h="16838" w:orient="landscape"/>
      <w:pgMar w:top="1440" w:right="1080" w:bottom="1440" w:left="1080" w:header="851" w:footer="992" w:gutter="0"/>
      <w:cols w:space="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wYmU3NjZiMDQ4YmZjMTJkMzkwZjEzZTc2OGM0Y2UifQ=="/>
  </w:docVars>
  <w:rsids>
    <w:rsidRoot w:val="00000000"/>
    <w:rsid w:val="19F056F8"/>
    <w:rsid w:val="2CFE7579"/>
    <w:rsid w:val="357A49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 w:type="paragraph" w:styleId="2">
    <w:name w:val="heading 1"/>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qFormat/>
    <w:uiPriority w:val="99"/>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widowControl/>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15"/>
    <w:basedOn w:val="11"/>
    <w:qFormat/>
    <w:uiPriority w:val="0"/>
    <w:rPr>
      <w:rFonts w:hint="default" w:ascii="Times New Roman" w:hAnsi="Times New Roman" w:cs="Times New Roman"/>
      <w:b/>
    </w:rPr>
  </w:style>
  <w:style w:type="paragraph" w:customStyle="1" w:styleId="13">
    <w:name w:val="18"/>
    <w:basedOn w:val="1"/>
    <w:qFormat/>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 w:type="paragraph" w:customStyle="1" w:styleId="14">
    <w:name w:val="HTML 预设格式 Char"/>
    <w:basedOn w:val="1"/>
    <w:qFormat/>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5">
    <w:name w:val="10"/>
    <w:basedOn w:val="11"/>
    <w:qFormat/>
    <w:uiPriority w:val="0"/>
    <w:rPr>
      <w:rFonts w:hint="default" w:ascii="Times New Roman" w:hAnsi="Times New Roman" w:cs="Times New Roman"/>
    </w:rPr>
  </w:style>
  <w:style w:type="paragraph" w:customStyle="1" w:styleId="16">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13</Pages>
  <Words>3178</Words>
  <Characters>4001</Characters>
  <Lines>1</Lines>
  <Paragraphs>1</Paragraphs>
  <TotalTime>2</TotalTime>
  <ScaleCrop>false</ScaleCrop>
  <LinksUpToDate>false</LinksUpToDate>
  <CharactersWithSpaces>4679</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2022-09-30T07:24:00Z</dcterms:created>
  <dc:creator>Administrator</dc:creator>
  <cp:lastModifiedBy>Administrator</cp:lastModifiedBy>
  <dcterms:modified xsi:type="dcterms:W3CDTF">2022-09-30T07:27:13Z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992BF0D8F2F84C68B4A70D06B17BBC1B</vt:lpwstr>
  </property>
</Properties>
</file>