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8A" w:rsidRPr="00482D4B" w:rsidRDefault="004B098A" w:rsidP="004B098A">
      <w:pPr>
        <w:jc w:val="center"/>
        <w:rPr>
          <w:rFonts w:asciiTheme="minorEastAsia" w:hAnsiTheme="minorEastAsia" w:hint="eastAsia"/>
          <w:b/>
          <w:sz w:val="36"/>
          <w:szCs w:val="36"/>
        </w:rPr>
      </w:pPr>
      <w:r w:rsidRPr="00482D4B">
        <w:rPr>
          <w:rFonts w:asciiTheme="minorEastAsia" w:hAnsiTheme="minorEastAsia" w:hint="eastAsia"/>
          <w:b/>
          <w:sz w:val="36"/>
          <w:szCs w:val="36"/>
        </w:rPr>
        <w:t>2021年度部门</w:t>
      </w:r>
      <w:r w:rsidRPr="00482D4B">
        <w:rPr>
          <w:rFonts w:asciiTheme="minorEastAsia" w:hAnsiTheme="minorEastAsia" w:hint="eastAsia"/>
          <w:b/>
          <w:sz w:val="36"/>
          <w:szCs w:val="36"/>
        </w:rPr>
        <w:t>整体支出绩效</w:t>
      </w:r>
      <w:r w:rsidRPr="00482D4B">
        <w:rPr>
          <w:rFonts w:asciiTheme="minorEastAsia" w:hAnsiTheme="minorEastAsia" w:hint="eastAsia"/>
          <w:b/>
          <w:sz w:val="36"/>
          <w:szCs w:val="36"/>
        </w:rPr>
        <w:t>评价</w:t>
      </w:r>
      <w:r w:rsidRPr="00482D4B">
        <w:rPr>
          <w:rFonts w:asciiTheme="minorEastAsia" w:hAnsiTheme="minorEastAsia" w:hint="eastAsia"/>
          <w:b/>
          <w:sz w:val="36"/>
          <w:szCs w:val="36"/>
        </w:rPr>
        <w:t>报告</w:t>
      </w:r>
    </w:p>
    <w:p w:rsidR="004B098A" w:rsidRPr="004B098A" w:rsidRDefault="004B098A" w:rsidP="004B098A">
      <w:pPr>
        <w:rPr>
          <w:rFonts w:asciiTheme="minorEastAsia" w:hAnsiTheme="minorEastAsia"/>
          <w:sz w:val="28"/>
          <w:szCs w:val="28"/>
        </w:rPr>
      </w:pP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 xml:space="preserve">一、部门概况 </w:t>
      </w:r>
    </w:p>
    <w:p w:rsidR="004B098A" w:rsidRPr="004B098A" w:rsidRDefault="004B098A" w:rsidP="004B098A">
      <w:pPr>
        <w:rPr>
          <w:rFonts w:asciiTheme="minorEastAsia" w:hAnsiTheme="minorEastAsia" w:hint="eastAsia"/>
          <w:sz w:val="28"/>
          <w:szCs w:val="28"/>
        </w:rPr>
      </w:pPr>
      <w:r w:rsidRPr="004B098A">
        <w:rPr>
          <w:rFonts w:asciiTheme="minorEastAsia" w:hAnsiTheme="minorEastAsia" w:hint="eastAsia"/>
          <w:sz w:val="28"/>
          <w:szCs w:val="28"/>
        </w:rPr>
        <w:t>（一）部门基本情况</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中共长沙市雨花区委统一战线工作部是雨花区委主管统一战线的职能部门,统一领导和管理区民族宗教事务局、区归侨侨眷联合会、党外人士服务中心。行政级别为正科级，现有在职在岗14人、退休人员7人、雇员2人，共22人。</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主要职能：宣传贯彻党的统一战线理论、方针、政策，当好区委的参谋助手，坚持不懈地贯彻落实党的统一战线“长期共存、互相监督、肝胆相照、荣辱与共”的基本方针，坚持和完善共产党员领导的多党合作和政治协商制度。</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重点工作计划：1、举办统一战线共识教育暨党外中青年干部培训班、非公有制经济代表人士培训班等，加强政治引领；2、聚焦“三高四新”战略，引导各民主党派和知联会围绕推动</w:t>
      </w:r>
      <w:proofErr w:type="gramStart"/>
      <w:r w:rsidRPr="004B098A">
        <w:rPr>
          <w:rFonts w:asciiTheme="minorEastAsia" w:hAnsiTheme="minorEastAsia" w:hint="eastAsia"/>
          <w:sz w:val="28"/>
          <w:szCs w:val="28"/>
        </w:rPr>
        <w:t>长株潭绿</w:t>
      </w:r>
      <w:proofErr w:type="gramEnd"/>
      <w:r w:rsidRPr="004B098A">
        <w:rPr>
          <w:rFonts w:asciiTheme="minorEastAsia" w:hAnsiTheme="minorEastAsia" w:hint="eastAsia"/>
          <w:sz w:val="28"/>
          <w:szCs w:val="28"/>
        </w:rPr>
        <w:t xml:space="preserve">心地区保护和发展、社区居家养老等工作撰写调研报告等；3、积极参与并圆满完成区人大、政协换届工作等；4、妥善处理民族宗教领域突发情况及网络舆情，有力维护民族宗教关系和谐和顺。 </w:t>
      </w: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 xml:space="preserve">二、部门整体支出管理及使用情况 </w:t>
      </w:r>
    </w:p>
    <w:p w:rsidR="004B098A" w:rsidRPr="004B098A" w:rsidRDefault="004B098A" w:rsidP="004B098A">
      <w:pPr>
        <w:rPr>
          <w:rFonts w:asciiTheme="minorEastAsia" w:hAnsiTheme="minorEastAsia" w:hint="eastAsia"/>
          <w:sz w:val="28"/>
          <w:szCs w:val="28"/>
        </w:rPr>
      </w:pPr>
      <w:r w:rsidRPr="004B098A">
        <w:rPr>
          <w:rFonts w:asciiTheme="minorEastAsia" w:hAnsiTheme="minorEastAsia" w:hint="eastAsia"/>
          <w:sz w:val="28"/>
          <w:szCs w:val="28"/>
        </w:rPr>
        <w:t xml:space="preserve">（一）基本支出 </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2021年基本支出决算数为484.34 万元，是保障单位机构运转、完成日常工作任务而发生的各项支出，包括基本工资、津贴补贴等人</w:t>
      </w:r>
      <w:proofErr w:type="gramStart"/>
      <w:r w:rsidRPr="004B098A">
        <w:rPr>
          <w:rFonts w:asciiTheme="minorEastAsia" w:hAnsiTheme="minorEastAsia" w:hint="eastAsia"/>
          <w:sz w:val="28"/>
          <w:szCs w:val="28"/>
        </w:rPr>
        <w:lastRenderedPageBreak/>
        <w:t>员经费</w:t>
      </w:r>
      <w:proofErr w:type="gramEnd"/>
      <w:r w:rsidRPr="004B098A">
        <w:rPr>
          <w:rFonts w:asciiTheme="minorEastAsia" w:hAnsiTheme="minorEastAsia" w:hint="eastAsia"/>
          <w:sz w:val="28"/>
          <w:szCs w:val="28"/>
        </w:rPr>
        <w:t>以及办公费、印刷费、公务接待费等日常公用经费。</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“三公”经费2021年预算数为0.5万元，2021年决算数为0.31万元。</w:t>
      </w:r>
    </w:p>
    <w:p w:rsidR="004B098A" w:rsidRPr="004B098A" w:rsidRDefault="004B098A" w:rsidP="004B098A">
      <w:pPr>
        <w:rPr>
          <w:rFonts w:asciiTheme="minorEastAsia" w:hAnsiTheme="minorEastAsia" w:hint="eastAsia"/>
          <w:sz w:val="28"/>
          <w:szCs w:val="28"/>
        </w:rPr>
      </w:pPr>
      <w:r w:rsidRPr="004B098A">
        <w:rPr>
          <w:rFonts w:asciiTheme="minorEastAsia" w:hAnsiTheme="minorEastAsia" w:hint="eastAsia"/>
          <w:sz w:val="28"/>
          <w:szCs w:val="28"/>
        </w:rPr>
        <w:t xml:space="preserve">（二）专项支出 </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2021年决算数为176.49万元，含区级财政拨款128.49万元，市级财政拨款48万元；包括各党派工作经费、春节走访慰问工作经费、</w:t>
      </w:r>
      <w:proofErr w:type="gramStart"/>
      <w:r w:rsidRPr="004B098A">
        <w:rPr>
          <w:rFonts w:asciiTheme="minorEastAsia" w:hAnsiTheme="minorEastAsia" w:hint="eastAsia"/>
          <w:sz w:val="28"/>
          <w:szCs w:val="28"/>
        </w:rPr>
        <w:t>银侨之家</w:t>
      </w:r>
      <w:proofErr w:type="gramEnd"/>
      <w:r w:rsidRPr="004B098A">
        <w:rPr>
          <w:rFonts w:asciiTheme="minorEastAsia" w:hAnsiTheme="minorEastAsia" w:hint="eastAsia"/>
          <w:sz w:val="28"/>
          <w:szCs w:val="28"/>
        </w:rPr>
        <w:t>工作经费、侨务、侨联、侨商工作经费、政党协商运行经费、“同心创建”工作经费、营商环境特约</w:t>
      </w:r>
      <w:proofErr w:type="gramStart"/>
      <w:r w:rsidRPr="004B098A">
        <w:rPr>
          <w:rFonts w:asciiTheme="minorEastAsia" w:hAnsiTheme="minorEastAsia" w:hint="eastAsia"/>
          <w:sz w:val="28"/>
          <w:szCs w:val="28"/>
        </w:rPr>
        <w:t>监督团</w:t>
      </w:r>
      <w:proofErr w:type="gramEnd"/>
      <w:r w:rsidRPr="004B098A">
        <w:rPr>
          <w:rFonts w:asciiTheme="minorEastAsia" w:hAnsiTheme="minorEastAsia" w:hint="eastAsia"/>
          <w:sz w:val="28"/>
          <w:szCs w:val="28"/>
        </w:rPr>
        <w:t>工作经费等项目经费。具体情况为：各党派工作经费70.12万元，专项用于各党派工委组织七个及党外人士知识分子联谊会一个、黄埔同学会、新社会阶层和社区统战工作经费；春节走访慰问工作经费8.88万元，通过走访慰问将党委、政府的关心和温暖送到全区统战代表人士和特困对象身边，由统战部机关、台办、侨联和</w:t>
      </w:r>
      <w:proofErr w:type="gramStart"/>
      <w:r w:rsidRPr="004B098A">
        <w:rPr>
          <w:rFonts w:asciiTheme="minorEastAsia" w:hAnsiTheme="minorEastAsia" w:hint="eastAsia"/>
          <w:sz w:val="28"/>
          <w:szCs w:val="28"/>
        </w:rPr>
        <w:t>民宗</w:t>
      </w:r>
      <w:proofErr w:type="gramEnd"/>
      <w:r w:rsidRPr="004B098A">
        <w:rPr>
          <w:rFonts w:asciiTheme="minorEastAsia" w:hAnsiTheme="minorEastAsia" w:hint="eastAsia"/>
          <w:sz w:val="28"/>
          <w:szCs w:val="28"/>
        </w:rPr>
        <w:t>外事侨务局分业务线走访区内各民主党派、无党派人士，归侨侨眷、少数民族同胞，走访黄埔同学会成员、原国民党起义投诚人员和抗战老兵及元老后代；侨务、侨商工作经费6.5万元；政党协商工作经费4.83万元； “同心创建”工作和社会组织统战工作经费9.36万元；营商环境特约</w:t>
      </w:r>
      <w:proofErr w:type="gramStart"/>
      <w:r w:rsidRPr="004B098A">
        <w:rPr>
          <w:rFonts w:asciiTheme="minorEastAsia" w:hAnsiTheme="minorEastAsia" w:hint="eastAsia"/>
          <w:sz w:val="28"/>
          <w:szCs w:val="28"/>
        </w:rPr>
        <w:t>监督团</w:t>
      </w:r>
      <w:proofErr w:type="gramEnd"/>
      <w:r w:rsidRPr="004B098A">
        <w:rPr>
          <w:rFonts w:asciiTheme="minorEastAsia" w:hAnsiTheme="minorEastAsia" w:hint="eastAsia"/>
          <w:sz w:val="28"/>
          <w:szCs w:val="28"/>
        </w:rPr>
        <w:t>工作经费4.10万元；党外人士服务中心工作经费7.68万元；涉J工作经费8.41万元；港澳台工作经费8.61万元；市级财政</w:t>
      </w:r>
      <w:proofErr w:type="gramStart"/>
      <w:r w:rsidRPr="004B098A">
        <w:rPr>
          <w:rFonts w:asciiTheme="minorEastAsia" w:hAnsiTheme="minorEastAsia" w:hint="eastAsia"/>
          <w:sz w:val="28"/>
          <w:szCs w:val="28"/>
        </w:rPr>
        <w:t>拨对外</w:t>
      </w:r>
      <w:proofErr w:type="gramEnd"/>
      <w:r w:rsidRPr="004B098A">
        <w:rPr>
          <w:rFonts w:asciiTheme="minorEastAsia" w:hAnsiTheme="minorEastAsia" w:hint="eastAsia"/>
          <w:sz w:val="28"/>
          <w:szCs w:val="28"/>
        </w:rPr>
        <w:t>交流及基地建设2万元；市级财政拨“同心创建”工作经费40万元；上年结余市级财政拨宋旦华文教育基地工作经费6万元。</w:t>
      </w: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 xml:space="preserve">三、部门专项组织实施情况 </w:t>
      </w:r>
    </w:p>
    <w:p w:rsidR="004B098A" w:rsidRPr="004B098A" w:rsidRDefault="004B098A" w:rsidP="004B098A">
      <w:pPr>
        <w:rPr>
          <w:rFonts w:asciiTheme="minorEastAsia" w:hAnsiTheme="minorEastAsia" w:hint="eastAsia"/>
          <w:sz w:val="28"/>
          <w:szCs w:val="28"/>
        </w:rPr>
      </w:pPr>
      <w:r w:rsidRPr="004B098A">
        <w:rPr>
          <w:rFonts w:asciiTheme="minorEastAsia" w:hAnsiTheme="minorEastAsia" w:hint="eastAsia"/>
          <w:sz w:val="28"/>
          <w:szCs w:val="28"/>
        </w:rPr>
        <w:lastRenderedPageBreak/>
        <w:t>（1）、管理制度健全，单位有内部财务管理制度、公务接待管理制度等，相关管理制度均合法、合</w:t>
      </w:r>
      <w:proofErr w:type="gramStart"/>
      <w:r w:rsidRPr="004B098A">
        <w:rPr>
          <w:rFonts w:asciiTheme="minorEastAsia" w:hAnsiTheme="minorEastAsia" w:hint="eastAsia"/>
          <w:sz w:val="28"/>
          <w:szCs w:val="28"/>
        </w:rPr>
        <w:t>规</w:t>
      </w:r>
      <w:proofErr w:type="gramEnd"/>
      <w:r w:rsidRPr="004B098A">
        <w:rPr>
          <w:rFonts w:asciiTheme="minorEastAsia" w:hAnsiTheme="minorEastAsia" w:hint="eastAsia"/>
          <w:sz w:val="28"/>
          <w:szCs w:val="28"/>
        </w:rPr>
        <w:t>、完整并得到有效执行。</w:t>
      </w:r>
    </w:p>
    <w:p w:rsidR="004B098A" w:rsidRPr="004B098A" w:rsidRDefault="004B098A" w:rsidP="004B098A">
      <w:pPr>
        <w:rPr>
          <w:rFonts w:asciiTheme="minorEastAsia" w:hAnsiTheme="minorEastAsia" w:hint="eastAsia"/>
          <w:sz w:val="28"/>
          <w:szCs w:val="28"/>
        </w:rPr>
      </w:pPr>
      <w:r w:rsidRPr="004B098A">
        <w:rPr>
          <w:rFonts w:asciiTheme="minorEastAsia" w:hAnsiTheme="minorEastAsia" w:hint="eastAsia"/>
          <w:sz w:val="28"/>
          <w:szCs w:val="28"/>
        </w:rPr>
        <w:t>（2）、单位资金的支出符合国家财经法规和财务管理制度规定以及有关专项资金管理办法的规定，符合部门预算批复的用途，资金拨付有完整的审批程序和手续，资金使用无截留、挤占、挪用、虚列支出等情况。</w:t>
      </w:r>
    </w:p>
    <w:p w:rsidR="004B098A" w:rsidRPr="004B098A" w:rsidRDefault="004B098A" w:rsidP="004B098A">
      <w:pPr>
        <w:rPr>
          <w:rFonts w:asciiTheme="minorEastAsia" w:hAnsiTheme="minorEastAsia" w:hint="eastAsia"/>
          <w:sz w:val="28"/>
          <w:szCs w:val="28"/>
        </w:rPr>
      </w:pPr>
      <w:r w:rsidRPr="004B098A">
        <w:rPr>
          <w:rFonts w:asciiTheme="minorEastAsia" w:hAnsiTheme="minorEastAsia" w:hint="eastAsia"/>
          <w:sz w:val="28"/>
          <w:szCs w:val="28"/>
        </w:rPr>
        <w:t>（3）、单位预算信息按时、按规定内容公开，基础数据信息和会计信息资料准确完整。</w:t>
      </w: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四、资产管理情况</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截至2021年12月31日，单位固定资产净值28.87万元。单位资产严格按政府集中采购目录及政府采购限额标准进行采购，安排专人对资产进行管理，严格按资产处置流程对到期不能使用的固定资产进行处置。</w:t>
      </w: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五、部门整体支出绩效情况</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根据《中华人民共和国预算法》、《中共湖南省委办公厅 湖南省人民政府办公厅全面实施预算绩效管理的实施意见》（</w:t>
      </w:r>
      <w:proofErr w:type="gramStart"/>
      <w:r w:rsidRPr="004B098A">
        <w:rPr>
          <w:rFonts w:asciiTheme="minorEastAsia" w:hAnsiTheme="minorEastAsia" w:hint="eastAsia"/>
          <w:sz w:val="28"/>
          <w:szCs w:val="28"/>
        </w:rPr>
        <w:t>湘办发</w:t>
      </w:r>
      <w:proofErr w:type="gramEnd"/>
      <w:r w:rsidRPr="004B098A">
        <w:rPr>
          <w:rFonts w:asciiTheme="minorEastAsia" w:hAnsiTheme="minorEastAsia" w:hint="eastAsia"/>
          <w:sz w:val="28"/>
          <w:szCs w:val="28"/>
        </w:rPr>
        <w:t>[2019]10号）、《雨花区财政局关于开展2021年度财政支出预算绩效自评工作的通知》等有关规定要求，我们在雨花区财政局绩效评价科的指导下，结合部门整体支出特点，经评价审定，该项得分为92分，绩效评价结果等次为“优”。</w:t>
      </w: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六、存在的主要问题</w:t>
      </w:r>
    </w:p>
    <w:p w:rsidR="004B098A" w:rsidRPr="004B098A" w:rsidRDefault="004B098A" w:rsidP="004B098A">
      <w:pPr>
        <w:ind w:firstLineChars="200" w:firstLine="560"/>
        <w:rPr>
          <w:rFonts w:asciiTheme="minorEastAsia" w:hAnsiTheme="minorEastAsia" w:hint="eastAsia"/>
          <w:sz w:val="28"/>
          <w:szCs w:val="28"/>
        </w:rPr>
      </w:pPr>
      <w:r w:rsidRPr="004B098A">
        <w:rPr>
          <w:rFonts w:asciiTheme="minorEastAsia" w:hAnsiTheme="minorEastAsia" w:hint="eastAsia"/>
          <w:sz w:val="28"/>
          <w:szCs w:val="28"/>
        </w:rPr>
        <w:t>政府采购执行率不高。主要是由于疫情原因，政府购买服务的采</w:t>
      </w:r>
      <w:r w:rsidRPr="004B098A">
        <w:rPr>
          <w:rFonts w:asciiTheme="minorEastAsia" w:hAnsiTheme="minorEastAsia" w:hint="eastAsia"/>
          <w:sz w:val="28"/>
          <w:szCs w:val="28"/>
        </w:rPr>
        <w:lastRenderedPageBreak/>
        <w:t xml:space="preserve">购计划未能执行。 </w:t>
      </w:r>
    </w:p>
    <w:p w:rsidR="004B098A" w:rsidRPr="004B098A" w:rsidRDefault="004B098A" w:rsidP="004B098A">
      <w:pPr>
        <w:rPr>
          <w:rFonts w:asciiTheme="minorEastAsia" w:hAnsiTheme="minorEastAsia" w:hint="eastAsia"/>
          <w:b/>
          <w:sz w:val="28"/>
          <w:szCs w:val="28"/>
        </w:rPr>
      </w:pPr>
      <w:r w:rsidRPr="004B098A">
        <w:rPr>
          <w:rFonts w:asciiTheme="minorEastAsia" w:hAnsiTheme="minorEastAsia" w:hint="eastAsia"/>
          <w:b/>
          <w:sz w:val="28"/>
          <w:szCs w:val="28"/>
        </w:rPr>
        <w:t xml:space="preserve">七、改进措施和有关建议 </w:t>
      </w:r>
    </w:p>
    <w:p w:rsidR="000626B1" w:rsidRPr="004B098A" w:rsidRDefault="004B098A" w:rsidP="004B098A">
      <w:pPr>
        <w:ind w:firstLineChars="200" w:firstLine="560"/>
        <w:rPr>
          <w:rFonts w:asciiTheme="minorEastAsia" w:hAnsiTheme="minorEastAsia"/>
          <w:sz w:val="28"/>
          <w:szCs w:val="28"/>
        </w:rPr>
      </w:pPr>
      <w:r w:rsidRPr="004B098A">
        <w:rPr>
          <w:rFonts w:asciiTheme="minorEastAsia" w:hAnsiTheme="minorEastAsia" w:hint="eastAsia"/>
          <w:sz w:val="28"/>
          <w:szCs w:val="28"/>
        </w:rPr>
        <w:t>严格按照《雨花区行政事业单位国有资产配置管理规定》《雨花区行政事业单位通用资产配置标准》来进行资产配置，进一步加强政府采购预算的精确率，严控公用经费开支。</w:t>
      </w:r>
    </w:p>
    <w:sectPr w:rsidR="000626B1" w:rsidRPr="004B098A" w:rsidSect="00062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B098A"/>
    <w:rsid w:val="000626B1"/>
    <w:rsid w:val="00482D4B"/>
    <w:rsid w:val="004B09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258</Words>
  <Characters>1473</Characters>
  <Application>Microsoft Office Word</Application>
  <DocSecurity>0</DocSecurity>
  <Lines>12</Lines>
  <Paragraphs>3</Paragraphs>
  <ScaleCrop>false</ScaleCrop>
  <Company>Lenovo</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2022-09-29T09:12:00Z</dcterms:created>
  <dcterms:modified xsi:type="dcterms:W3CDTF">2022-09-29T09:17:00Z</dcterms:modified>
</cp:coreProperties>
</file>