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kern w:val="0"/>
          <w:sz w:val="32"/>
          <w:szCs w:val="32"/>
        </w:rPr>
      </w:pPr>
      <w:r>
        <w:rPr>
          <w:rFonts w:eastAsia="黑体"/>
          <w:sz w:val="32"/>
          <w:szCs w:val="32"/>
        </w:rPr>
        <w:t>附件</w:t>
      </w:r>
      <w:r>
        <w:rPr>
          <w:rFonts w:hint="eastAsia" w:eastAsia="黑体"/>
          <w:sz w:val="32"/>
          <w:szCs w:val="32"/>
        </w:rPr>
        <w:t>1</w:t>
      </w:r>
    </w:p>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
          <w:bCs/>
          <w:kern w:val="0"/>
          <w:sz w:val="24"/>
        </w:rPr>
      </w:pPr>
      <w:r>
        <w:rPr>
          <w:rFonts w:eastAsia="楷体_GB2312"/>
          <w:b/>
          <w:bCs/>
          <w:kern w:val="0"/>
          <w:sz w:val="24"/>
        </w:rPr>
        <w:t>填报单位：</w:t>
      </w:r>
    </w:p>
    <w:tbl>
      <w:tblPr>
        <w:tblStyle w:val="4"/>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15</w:t>
            </w:r>
          </w:p>
        </w:tc>
        <w:tc>
          <w:tcPr>
            <w:tcW w:w="2385"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13</w:t>
            </w:r>
          </w:p>
        </w:tc>
        <w:tc>
          <w:tcPr>
            <w:tcW w:w="1927" w:type="dxa"/>
            <w:gridSpan w:val="2"/>
            <w:tcBorders>
              <w:top w:val="single" w:color="auto" w:sz="4" w:space="0"/>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r>
              <w:rPr>
                <w:rFonts w:hint="eastAsia"/>
                <w:kern w:val="0"/>
                <w:sz w:val="20"/>
                <w:szCs w:val="20"/>
              </w:rPr>
              <w:t>86.67%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rFonts w:eastAsia="黑体"/>
                <w:kern w:val="0"/>
                <w:sz w:val="20"/>
                <w:szCs w:val="20"/>
              </w:rPr>
            </w:pPr>
            <w:r>
              <w:rPr>
                <w:rFonts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18.86</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0.5</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xml:space="preserve">  0.10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18.36</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0.5</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 xml:space="preserve"> 0.5</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0.10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274.03</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rFonts w:hint="eastAsia"/>
                <w:kern w:val="0"/>
                <w:sz w:val="20"/>
                <w:szCs w:val="20"/>
              </w:rPr>
              <w:t>143.80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202.29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37.22</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40.43</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44.10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15.44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11.90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22.12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0</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0</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1.94</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1.2</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color w:val="FF0000"/>
                <w:kern w:val="0"/>
                <w:sz w:val="20"/>
                <w:szCs w:val="20"/>
              </w:rPr>
            </w:pPr>
            <w:r>
              <w:rPr>
                <w:color w:val="FF0000"/>
                <w:kern w:val="0"/>
                <w:sz w:val="20"/>
                <w:szCs w:val="20"/>
              </w:rPr>
              <w:t>　</w:t>
            </w:r>
            <w:r>
              <w:rPr>
                <w:rFonts w:hint="eastAsia"/>
                <w:color w:val="FF0000"/>
                <w:kern w:val="0"/>
                <w:sz w:val="20"/>
                <w:szCs w:val="20"/>
              </w:rPr>
              <w:t>1.2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2.29</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r>
              <w:rPr>
                <w:rFonts w:hint="eastAsia"/>
                <w:kern w:val="0"/>
                <w:sz w:val="20"/>
                <w:szCs w:val="20"/>
              </w:rPr>
              <w:t>1.99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楼堂馆所控制情况</w:t>
            </w:r>
            <w:r>
              <w:rPr>
                <w:kern w:val="0"/>
                <w:sz w:val="20"/>
                <w:szCs w:val="20"/>
              </w:rPr>
              <w:br w:type="textWrapping"/>
            </w:r>
            <w:r>
              <w:rPr>
                <w:kern w:val="0"/>
                <w:sz w:val="20"/>
                <w:szCs w:val="20"/>
              </w:rPr>
              <w:t>（2020年完工项目）</w:t>
            </w: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批复规模</w:t>
            </w:r>
            <w:r>
              <w:rPr>
                <w:kern w:val="0"/>
                <w:sz w:val="20"/>
                <w:szCs w:val="20"/>
              </w:rPr>
              <w:br w:type="textWrapping"/>
            </w:r>
            <w:r>
              <w:rPr>
                <w:kern w:val="0"/>
                <w:sz w:val="20"/>
                <w:szCs w:val="20"/>
              </w:rPr>
              <w:t>（㎡）</w:t>
            </w:r>
          </w:p>
        </w:tc>
        <w:tc>
          <w:tcPr>
            <w:tcW w:w="805"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规模</w:t>
            </w:r>
            <w:r>
              <w:rPr>
                <w:kern w:val="0"/>
                <w:sz w:val="20"/>
                <w:szCs w:val="20"/>
              </w:rPr>
              <w:br w:type="textWrapping"/>
            </w:r>
            <w:r>
              <w:rPr>
                <w:kern w:val="0"/>
                <w:sz w:val="20"/>
                <w:szCs w:val="20"/>
              </w:rPr>
              <w:t>（㎡）</w:t>
            </w:r>
          </w:p>
        </w:tc>
        <w:tc>
          <w:tcPr>
            <w:tcW w:w="1296"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预算投资</w:t>
            </w:r>
            <w:r>
              <w:rPr>
                <w:kern w:val="0"/>
                <w:sz w:val="20"/>
                <w:szCs w:val="20"/>
              </w:rPr>
              <w:br w:type="textWrapping"/>
            </w:r>
            <w:r>
              <w:rPr>
                <w:kern w:val="0"/>
                <w:sz w:val="20"/>
                <w:szCs w:val="20"/>
              </w:rPr>
              <w:t>（万元）</w:t>
            </w:r>
          </w:p>
        </w:tc>
        <w:tc>
          <w:tcPr>
            <w:tcW w:w="949"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投资</w:t>
            </w:r>
            <w:r>
              <w:rPr>
                <w:kern w:val="0"/>
                <w:sz w:val="20"/>
                <w:szCs w:val="20"/>
              </w:rPr>
              <w:br w:type="textWrapping"/>
            </w:r>
            <w:r>
              <w:rPr>
                <w:kern w:val="0"/>
                <w:sz w:val="20"/>
                <w:szCs w:val="20"/>
              </w:rPr>
              <w:t>（万元）</w:t>
            </w:r>
          </w:p>
        </w:tc>
        <w:tc>
          <w:tcPr>
            <w:tcW w:w="978"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kern w:val="0"/>
                <w:sz w:val="20"/>
                <w:szCs w:val="20"/>
              </w:rPr>
            </w:pPr>
            <w:r>
              <w:rPr>
                <w:kern w:val="0"/>
                <w:sz w:val="20"/>
                <w:szCs w:val="20"/>
              </w:rPr>
              <w:t>　</w:t>
            </w:r>
          </w:p>
        </w:tc>
        <w:tc>
          <w:tcPr>
            <w:tcW w:w="805"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1296"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108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949"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c>
          <w:tcPr>
            <w:tcW w:w="978" w:type="dxa"/>
            <w:tcBorders>
              <w:top w:val="nil"/>
              <w:left w:val="nil"/>
              <w:bottom w:val="single" w:color="auto" w:sz="4" w:space="0"/>
              <w:right w:val="single" w:color="auto" w:sz="4" w:space="0"/>
            </w:tcBorders>
            <w:vAlign w:val="center"/>
          </w:tcPr>
          <w:p>
            <w:pPr>
              <w:widowControl/>
              <w:jc w:val="left"/>
              <w:rPr>
                <w:kern w:val="0"/>
                <w:sz w:val="20"/>
                <w:szCs w:val="20"/>
              </w:rPr>
            </w:pP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vAlign w:val="center"/>
          </w:tcPr>
          <w:p>
            <w:pPr>
              <w:widowControl/>
              <w:jc w:val="center"/>
              <w:rPr>
                <w:kern w:val="0"/>
                <w:sz w:val="20"/>
                <w:szCs w:val="20"/>
              </w:rPr>
            </w:pPr>
            <w:r>
              <w:rPr>
                <w:kern w:val="0"/>
                <w:sz w:val="20"/>
                <w:szCs w:val="20"/>
              </w:rPr>
              <w:t>　</w:t>
            </w:r>
          </w:p>
        </w:tc>
      </w:tr>
    </w:tbl>
    <w:p>
      <w:pPr>
        <w:spacing w:beforeLines="50"/>
        <w:ind w:left="720" w:hanging="720" w:hangingChars="300"/>
        <w:rPr>
          <w:rFonts w:eastAsia="楷体_GB2312"/>
          <w:sz w:val="24"/>
        </w:rPr>
      </w:pPr>
      <w:r>
        <w:rPr>
          <w:rFonts w:eastAsia="楷体_GB2312"/>
          <w:kern w:val="0"/>
          <w:sz w:val="24"/>
        </w:rPr>
        <w:t>说明：“项目支出”需要填报除公共专项资金和基本支出以外的所有项目情况，包括业务工作项目、运行维护项目等；“公用经费”填报基本支出中的一般商品和服务支出。</w:t>
      </w:r>
      <w:r>
        <w:rPr>
          <w:rFonts w:eastAsia="楷体_GB2312"/>
          <w:sz w:val="24"/>
        </w:rPr>
        <w:t xml:space="preserve"> </w:t>
      </w:r>
    </w:p>
    <w:p>
      <w:pPr>
        <w:spacing w:line="600" w:lineRule="exact"/>
        <w:rPr>
          <w:rFonts w:eastAsia="方正小标宋_GBK"/>
          <w:kern w:val="0"/>
          <w:sz w:val="36"/>
          <w:szCs w:val="36"/>
        </w:rPr>
      </w:pPr>
      <w:r>
        <w:rPr>
          <w:rFonts w:eastAsia="黑体"/>
          <w:kern w:val="0"/>
          <w:sz w:val="32"/>
          <w:szCs w:val="32"/>
        </w:rPr>
        <w:t>附件</w:t>
      </w:r>
      <w:r>
        <w:rPr>
          <w:rFonts w:hint="eastAsia" w:eastAsia="黑体"/>
          <w:kern w:val="0"/>
          <w:sz w:val="32"/>
          <w:szCs w:val="32"/>
        </w:rPr>
        <w:t>2</w:t>
      </w: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4"/>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一级</w:t>
            </w:r>
            <w:r>
              <w:rPr>
                <w:rFonts w:eastAsia="黑体"/>
                <w:color w:val="000000"/>
                <w:kern w:val="0"/>
                <w:sz w:val="20"/>
                <w:szCs w:val="20"/>
              </w:rPr>
              <w:br w:type="textWrapping"/>
            </w:r>
            <w:r>
              <w:rPr>
                <w:rFonts w:eastAsia="黑体"/>
                <w:color w:val="000000"/>
                <w:kern w:val="0"/>
                <w:sz w:val="20"/>
                <w:szCs w:val="20"/>
              </w:rPr>
              <w:t>指标</w:t>
            </w:r>
          </w:p>
        </w:tc>
        <w:tc>
          <w:tcPr>
            <w:tcW w:w="37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二级</w:t>
            </w:r>
            <w:r>
              <w:rPr>
                <w:rFonts w:eastAsia="黑体"/>
                <w:color w:val="000000"/>
                <w:kern w:val="0"/>
                <w:sz w:val="20"/>
                <w:szCs w:val="20"/>
              </w:rPr>
              <w:br w:type="textWrapping"/>
            </w:r>
            <w:r>
              <w:rPr>
                <w:rFonts w:eastAsia="黑体"/>
                <w:color w:val="000000"/>
                <w:kern w:val="0"/>
                <w:sz w:val="20"/>
                <w:szCs w:val="20"/>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投入</w:t>
            </w:r>
            <w:r>
              <w:rPr>
                <w:rStyle w:val="7"/>
                <w:sz w:val="20"/>
                <w:szCs w:val="20"/>
              </w:rPr>
              <w:br w:type="textWrapping"/>
            </w:r>
            <w:r>
              <w:rPr>
                <w:rStyle w:val="6"/>
                <w:rFonts w:hint="default" w:ascii="Times New Roman" w:hAnsi="Times New Roman" w:cs="Times New Roman"/>
                <w:sz w:val="20"/>
                <w:szCs w:val="20"/>
              </w:rPr>
              <w:t>（10分）</w:t>
            </w:r>
          </w:p>
        </w:tc>
        <w:tc>
          <w:tcPr>
            <w:tcW w:w="37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目标</w:t>
            </w:r>
            <w:r>
              <w:rPr>
                <w:rStyle w:val="7"/>
                <w:sz w:val="20"/>
                <w:szCs w:val="20"/>
              </w:rPr>
              <w:br w:type="textWrapping"/>
            </w:r>
            <w:r>
              <w:rPr>
                <w:rStyle w:val="6"/>
                <w:rFonts w:hint="default" w:ascii="Times New Roman" w:hAnsi="Times New Roman" w:cs="Times New Roman"/>
                <w:sz w:val="20"/>
                <w:szCs w:val="20"/>
              </w:rPr>
              <w:t>设定</w:t>
            </w:r>
            <w:r>
              <w:rPr>
                <w:rStyle w:val="7"/>
                <w:sz w:val="20"/>
                <w:szCs w:val="20"/>
              </w:rPr>
              <w:br w:type="textWrapping"/>
            </w:r>
            <w:r>
              <w:rPr>
                <w:rStyle w:val="6"/>
                <w:rFonts w:hint="default" w:ascii="Times New Roman" w:hAnsi="Times New Roman" w:cs="Times New Roman"/>
                <w:sz w:val="20"/>
                <w:szCs w:val="20"/>
              </w:rPr>
              <w:t>（</w:t>
            </w:r>
            <w:r>
              <w:rPr>
                <w:rStyle w:val="7"/>
                <w:sz w:val="20"/>
                <w:szCs w:val="20"/>
              </w:rPr>
              <w:t>6</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绩效目标</w:t>
            </w:r>
            <w:r>
              <w:rPr>
                <w:rStyle w:val="7"/>
                <w:sz w:val="20"/>
                <w:szCs w:val="20"/>
              </w:rPr>
              <w:br w:type="textWrapping"/>
            </w:r>
            <w:r>
              <w:rPr>
                <w:rStyle w:val="6"/>
                <w:rFonts w:hint="default" w:ascii="Times New Roman" w:hAnsi="Times New Roman" w:cs="Times New Roman"/>
                <w:sz w:val="20"/>
                <w:szCs w:val="20"/>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①是否符合国家法律法规、国民经济和社会发展总体规划；</w:t>
            </w:r>
            <w:r>
              <w:rPr>
                <w:rStyle w:val="7"/>
                <w:sz w:val="20"/>
                <w:szCs w:val="20"/>
              </w:rPr>
              <w:br w:type="textWrapping"/>
            </w:r>
            <w:r>
              <w:rPr>
                <w:rStyle w:val="6"/>
                <w:rFonts w:hint="default" w:ascii="Times New Roman" w:hAnsi="Times New Roman" w:cs="Times New Roman"/>
                <w:sz w:val="20"/>
                <w:szCs w:val="20"/>
              </w:rPr>
              <w:t>②是否符合部门</w:t>
            </w:r>
            <w:r>
              <w:rPr>
                <w:rStyle w:val="7"/>
                <w:sz w:val="20"/>
                <w:szCs w:val="20"/>
              </w:rPr>
              <w:t>“</w:t>
            </w:r>
            <w:r>
              <w:rPr>
                <w:rStyle w:val="6"/>
                <w:rFonts w:hint="default" w:ascii="Times New Roman" w:hAnsi="Times New Roman" w:cs="Times New Roman"/>
                <w:sz w:val="20"/>
                <w:szCs w:val="20"/>
              </w:rPr>
              <w:t>三定</w:t>
            </w:r>
            <w:r>
              <w:rPr>
                <w:rStyle w:val="7"/>
                <w:sz w:val="20"/>
                <w:szCs w:val="20"/>
              </w:rPr>
              <w:t>”</w:t>
            </w:r>
            <w:r>
              <w:rPr>
                <w:rStyle w:val="6"/>
                <w:rFonts w:hint="default" w:ascii="Times New Roman" w:hAnsi="Times New Roman" w:cs="Times New Roman"/>
                <w:sz w:val="20"/>
                <w:szCs w:val="20"/>
              </w:rPr>
              <w:t>方案确定的职责；</w:t>
            </w:r>
            <w:r>
              <w:rPr>
                <w:rStyle w:val="7"/>
                <w:sz w:val="20"/>
                <w:szCs w:val="20"/>
              </w:rPr>
              <w:br w:type="textWrapping"/>
            </w:r>
            <w:r>
              <w:rPr>
                <w:rStyle w:val="6"/>
                <w:rFonts w:hint="default" w:ascii="Times New Roman" w:hAnsi="Times New Roman" w:cs="Times New Roman"/>
                <w:sz w:val="20"/>
                <w:szCs w:val="20"/>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6"/>
                <w:rFonts w:hint="default" w:ascii="Times New Roman" w:hAnsi="Times New Roman" w:cs="Times New Roman"/>
                <w:sz w:val="20"/>
                <w:szCs w:val="20"/>
              </w:rPr>
              <w:t>①符合国家相关法律法规，本市国民经济和社会发展规划，计</w:t>
            </w:r>
            <w:r>
              <w:rPr>
                <w:rStyle w:val="7"/>
                <w:sz w:val="20"/>
                <w:szCs w:val="20"/>
              </w:rPr>
              <w:t>0.5</w:t>
            </w:r>
            <w:r>
              <w:rPr>
                <w:rStyle w:val="6"/>
                <w:rFonts w:hint="default" w:ascii="Times New Roman" w:hAnsi="Times New Roman" w:cs="Times New Roman"/>
                <w:sz w:val="20"/>
                <w:szCs w:val="20"/>
              </w:rPr>
              <w:t>分，否则不得分；</w:t>
            </w:r>
            <w:r>
              <w:rPr>
                <w:rStyle w:val="7"/>
                <w:sz w:val="20"/>
                <w:szCs w:val="20"/>
              </w:rPr>
              <w:br w:type="textWrapping"/>
            </w:r>
            <w:r>
              <w:rPr>
                <w:rStyle w:val="6"/>
                <w:rFonts w:hint="default" w:ascii="Times New Roman" w:hAnsi="Times New Roman" w:cs="Times New Roman"/>
                <w:sz w:val="20"/>
                <w:szCs w:val="20"/>
              </w:rPr>
              <w:t>②与部门（单位）职责密切相关，计</w:t>
            </w:r>
            <w:r>
              <w:rPr>
                <w:rStyle w:val="7"/>
                <w:sz w:val="20"/>
                <w:szCs w:val="20"/>
              </w:rPr>
              <w:t>0.5</w:t>
            </w:r>
            <w:r>
              <w:rPr>
                <w:rStyle w:val="6"/>
                <w:rFonts w:hint="default" w:ascii="Times New Roman" w:hAnsi="Times New Roman" w:cs="Times New Roman"/>
                <w:sz w:val="20"/>
                <w:szCs w:val="20"/>
              </w:rPr>
              <w:t>分，否则不得分；</w:t>
            </w:r>
            <w:r>
              <w:rPr>
                <w:rStyle w:val="7"/>
                <w:sz w:val="20"/>
                <w:szCs w:val="20"/>
              </w:rPr>
              <w:br w:type="textWrapping"/>
            </w:r>
            <w:r>
              <w:rPr>
                <w:rStyle w:val="6"/>
                <w:rFonts w:hint="default" w:ascii="Times New Roman" w:hAnsi="Times New Roman" w:cs="Times New Roman"/>
                <w:sz w:val="20"/>
                <w:szCs w:val="20"/>
              </w:rPr>
              <w:t>③符合部门制定的发展实施规划，计</w:t>
            </w:r>
            <w:r>
              <w:rPr>
                <w:rStyle w:val="7"/>
                <w:sz w:val="20"/>
                <w:szCs w:val="20"/>
              </w:rPr>
              <w:t>1</w:t>
            </w:r>
            <w:r>
              <w:rPr>
                <w:rStyle w:val="6"/>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绩效指标</w:t>
            </w:r>
            <w:r>
              <w:rPr>
                <w:rStyle w:val="7"/>
                <w:sz w:val="20"/>
                <w:szCs w:val="20"/>
              </w:rPr>
              <w:br w:type="textWrapping"/>
            </w:r>
            <w:r>
              <w:rPr>
                <w:rStyle w:val="6"/>
                <w:rFonts w:hint="default" w:ascii="Times New Roman" w:hAnsi="Times New Roman" w:cs="Times New Roman"/>
                <w:sz w:val="20"/>
                <w:szCs w:val="20"/>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①是否将部门整体的绩效目标细化分解为具体的工作任务；</w:t>
            </w:r>
            <w:r>
              <w:rPr>
                <w:rStyle w:val="7"/>
                <w:sz w:val="20"/>
                <w:szCs w:val="20"/>
              </w:rPr>
              <w:br w:type="textWrapping"/>
            </w:r>
            <w:r>
              <w:rPr>
                <w:rStyle w:val="6"/>
                <w:rFonts w:hint="default" w:ascii="Times New Roman" w:hAnsi="Times New Roman" w:cs="Times New Roman"/>
                <w:sz w:val="20"/>
                <w:szCs w:val="20"/>
              </w:rPr>
              <w:t>②是否通过清晰、可衡量的指标值予以体现。</w:t>
            </w:r>
            <w:r>
              <w:rPr>
                <w:rStyle w:val="7"/>
                <w:sz w:val="20"/>
                <w:szCs w:val="20"/>
              </w:rPr>
              <w:br w:type="textWrapping"/>
            </w:r>
            <w:r>
              <w:rPr>
                <w:rStyle w:val="6"/>
                <w:rFonts w:hint="default" w:ascii="Times New Roman" w:hAnsi="Times New Roman" w:cs="Times New Roman"/>
                <w:sz w:val="20"/>
                <w:szCs w:val="20"/>
              </w:rPr>
              <w:t>③是否与部门年度的任务数或计划数相对应；</w:t>
            </w:r>
            <w:r>
              <w:rPr>
                <w:rStyle w:val="7"/>
                <w:sz w:val="20"/>
                <w:szCs w:val="20"/>
              </w:rPr>
              <w:br w:type="textWrapping"/>
            </w:r>
            <w:r>
              <w:rPr>
                <w:rStyle w:val="6"/>
                <w:rFonts w:hint="default" w:ascii="Times New Roman" w:hAnsi="Times New Roman" w:cs="Times New Roman"/>
                <w:sz w:val="20"/>
                <w:szCs w:val="20"/>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6"/>
                <w:rFonts w:hint="default" w:ascii="Times New Roman" w:hAnsi="Times New Roman" w:cs="Times New Roman"/>
                <w:sz w:val="20"/>
                <w:szCs w:val="20"/>
              </w:rPr>
              <w:t>①有目标，计1分，否则不得分；</w:t>
            </w:r>
            <w:r>
              <w:rPr>
                <w:rStyle w:val="7"/>
                <w:sz w:val="20"/>
                <w:szCs w:val="20"/>
              </w:rPr>
              <w:br w:type="textWrapping"/>
            </w:r>
            <w:r>
              <w:rPr>
                <w:rStyle w:val="6"/>
                <w:rFonts w:hint="default" w:ascii="Times New Roman" w:hAnsi="Times New Roman" w:cs="Times New Roman"/>
                <w:sz w:val="20"/>
                <w:szCs w:val="20"/>
              </w:rPr>
              <w:t>②目标明确，细化量化良好，个性指标中量化指标超过</w:t>
            </w:r>
            <w:r>
              <w:rPr>
                <w:rStyle w:val="7"/>
                <w:sz w:val="20"/>
                <w:szCs w:val="20"/>
              </w:rPr>
              <w:t>3</w:t>
            </w:r>
            <w:r>
              <w:rPr>
                <w:rStyle w:val="6"/>
                <w:rFonts w:hint="default" w:ascii="Times New Roman" w:hAnsi="Times New Roman" w:cs="Times New Roman"/>
                <w:sz w:val="20"/>
                <w:szCs w:val="20"/>
              </w:rPr>
              <w:t>个，计1分，量化指标为</w:t>
            </w:r>
            <w:r>
              <w:rPr>
                <w:rStyle w:val="7"/>
                <w:sz w:val="20"/>
                <w:szCs w:val="20"/>
              </w:rPr>
              <w:t>2</w:t>
            </w:r>
            <w:r>
              <w:rPr>
                <w:rStyle w:val="6"/>
                <w:rFonts w:hint="default" w:ascii="Times New Roman" w:hAnsi="Times New Roman" w:cs="Times New Roman"/>
                <w:sz w:val="20"/>
                <w:szCs w:val="20"/>
              </w:rPr>
              <w:t>个，计</w:t>
            </w:r>
            <w:r>
              <w:rPr>
                <w:rStyle w:val="7"/>
                <w:sz w:val="20"/>
                <w:szCs w:val="20"/>
              </w:rPr>
              <w:t>0.5</w:t>
            </w:r>
            <w:r>
              <w:rPr>
                <w:rStyle w:val="6"/>
                <w:rFonts w:hint="default" w:ascii="Times New Roman" w:hAnsi="Times New Roman" w:cs="Times New Roman"/>
                <w:sz w:val="20"/>
                <w:szCs w:val="20"/>
              </w:rPr>
              <w:t>分，</w:t>
            </w:r>
            <w:r>
              <w:rPr>
                <w:rStyle w:val="7"/>
                <w:sz w:val="20"/>
                <w:szCs w:val="20"/>
              </w:rPr>
              <w:t>2</w:t>
            </w:r>
            <w:r>
              <w:rPr>
                <w:rStyle w:val="6"/>
                <w:rFonts w:hint="default" w:ascii="Times New Roman" w:hAnsi="Times New Roman" w:cs="Times New Roman"/>
                <w:sz w:val="20"/>
                <w:szCs w:val="20"/>
              </w:rPr>
              <w:t>个以下不得分；</w:t>
            </w:r>
            <w:r>
              <w:rPr>
                <w:rStyle w:val="7"/>
                <w:sz w:val="20"/>
                <w:szCs w:val="20"/>
              </w:rPr>
              <w:br w:type="textWrapping"/>
            </w:r>
            <w:r>
              <w:rPr>
                <w:rStyle w:val="6"/>
                <w:rFonts w:hint="default" w:ascii="Times New Roman" w:hAnsi="Times New Roman" w:cs="Times New Roman"/>
                <w:sz w:val="20"/>
                <w:szCs w:val="20"/>
              </w:rPr>
              <w:t>③与年度任务数或计划数相对应，计1分，低于</w:t>
            </w:r>
            <w:r>
              <w:rPr>
                <w:rStyle w:val="7"/>
                <w:sz w:val="20"/>
                <w:szCs w:val="20"/>
              </w:rPr>
              <w:t>2</w:t>
            </w:r>
            <w:r>
              <w:rPr>
                <w:rStyle w:val="6"/>
                <w:rFonts w:hint="default" w:ascii="Times New Roman" w:hAnsi="Times New Roman" w:cs="Times New Roman"/>
                <w:sz w:val="20"/>
                <w:szCs w:val="20"/>
              </w:rPr>
              <w:t>个，计0.5分，低于</w:t>
            </w:r>
            <w:r>
              <w:rPr>
                <w:rStyle w:val="7"/>
                <w:sz w:val="20"/>
                <w:szCs w:val="20"/>
              </w:rPr>
              <w:t>4</w:t>
            </w:r>
            <w:r>
              <w:rPr>
                <w:rStyle w:val="6"/>
                <w:rFonts w:hint="default" w:ascii="Times New Roman" w:hAnsi="Times New Roman" w:cs="Times New Roman"/>
                <w:sz w:val="20"/>
                <w:szCs w:val="20"/>
              </w:rPr>
              <w:t>个不得分；</w:t>
            </w:r>
            <w:r>
              <w:rPr>
                <w:rStyle w:val="7"/>
                <w:sz w:val="20"/>
                <w:szCs w:val="20"/>
              </w:rPr>
              <w:br w:type="textWrapping"/>
            </w:r>
            <w:r>
              <w:rPr>
                <w:rStyle w:val="6"/>
                <w:rFonts w:hint="default" w:ascii="Times New Roman" w:hAnsi="Times New Roman" w:cs="Times New Roman"/>
                <w:sz w:val="20"/>
                <w:szCs w:val="20"/>
              </w:rPr>
              <w:t>④目标与资金匹配良好，逻辑关系明确，计1分，否则不得分。</w:t>
            </w:r>
          </w:p>
        </w:tc>
        <w:tc>
          <w:tcPr>
            <w:tcW w:w="477" w:type="pct"/>
            <w:tcMar>
              <w:top w:w="15" w:type="dxa"/>
              <w:left w:w="15" w:type="dxa"/>
              <w:right w:w="15" w:type="dxa"/>
            </w:tcMar>
            <w:vAlign w:val="center"/>
          </w:tcPr>
          <w:p>
            <w:pPr>
              <w:widowControl/>
              <w:spacing w:line="27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预算</w:t>
            </w:r>
            <w:r>
              <w:rPr>
                <w:rStyle w:val="7"/>
                <w:sz w:val="20"/>
                <w:szCs w:val="20"/>
              </w:rPr>
              <w:br w:type="textWrapping"/>
            </w:r>
            <w:r>
              <w:rPr>
                <w:rStyle w:val="6"/>
                <w:rFonts w:hint="default" w:ascii="Times New Roman" w:hAnsi="Times New Roman" w:cs="Times New Roman"/>
                <w:sz w:val="20"/>
                <w:szCs w:val="20"/>
              </w:rPr>
              <w:t>配置</w:t>
            </w:r>
            <w:r>
              <w:rPr>
                <w:rStyle w:val="7"/>
                <w:sz w:val="20"/>
                <w:szCs w:val="20"/>
              </w:rPr>
              <w:br w:type="textWrapping"/>
            </w:r>
            <w:r>
              <w:rPr>
                <w:rStyle w:val="6"/>
                <w:rFonts w:hint="default" w:ascii="Times New Roman" w:hAnsi="Times New Roman" w:cs="Times New Roman"/>
                <w:sz w:val="20"/>
                <w:szCs w:val="20"/>
              </w:rPr>
              <w:t>（</w:t>
            </w:r>
            <w:r>
              <w:rPr>
                <w:rStyle w:val="7"/>
                <w:sz w:val="20"/>
                <w:szCs w:val="20"/>
              </w:rPr>
              <w:t>4</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人员</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在职人员控制率</w:t>
            </w:r>
            <w:r>
              <w:rPr>
                <w:rStyle w:val="7"/>
                <w:sz w:val="20"/>
                <w:szCs w:val="20"/>
              </w:rPr>
              <w:t>=</w:t>
            </w:r>
            <w:r>
              <w:rPr>
                <w:rStyle w:val="6"/>
                <w:rFonts w:hint="default" w:ascii="Times New Roman" w:hAnsi="Times New Roman" w:cs="Times New Roman"/>
                <w:sz w:val="20"/>
                <w:szCs w:val="20"/>
              </w:rPr>
              <w:t>（在职人员数</w:t>
            </w:r>
            <w:r>
              <w:rPr>
                <w:rStyle w:val="7"/>
                <w:sz w:val="20"/>
                <w:szCs w:val="20"/>
              </w:rPr>
              <w:t>/</w:t>
            </w:r>
            <w:r>
              <w:rPr>
                <w:rStyle w:val="6"/>
                <w:rFonts w:hint="default" w:ascii="Times New Roman" w:hAnsi="Times New Roman" w:cs="Times New Roman"/>
                <w:sz w:val="20"/>
                <w:szCs w:val="20"/>
              </w:rPr>
              <w:t>编制数）</w:t>
            </w:r>
            <w:r>
              <w:rPr>
                <w:rStyle w:val="7"/>
                <w:sz w:val="20"/>
                <w:szCs w:val="20"/>
              </w:rPr>
              <w:t>×100%</w:t>
            </w:r>
            <w:r>
              <w:rPr>
                <w:rStyle w:val="6"/>
                <w:rFonts w:hint="default" w:ascii="Times New Roman" w:hAnsi="Times New Roman" w:cs="Times New Roman"/>
                <w:sz w:val="20"/>
                <w:szCs w:val="20"/>
              </w:rPr>
              <w:t>。</w:t>
            </w:r>
            <w:r>
              <w:rPr>
                <w:rStyle w:val="7"/>
                <w:sz w:val="20"/>
                <w:szCs w:val="20"/>
              </w:rPr>
              <w:br w:type="textWrapping"/>
            </w:r>
            <w:r>
              <w:rPr>
                <w:rStyle w:val="6"/>
                <w:rFonts w:hint="default" w:ascii="Times New Roman" w:hAnsi="Times New Roman" w:cs="Times New Roman"/>
                <w:sz w:val="20"/>
                <w:szCs w:val="20"/>
              </w:rPr>
              <w:t>聘用人员控制率≦人社和编办共同批复的人数；</w:t>
            </w:r>
            <w:r>
              <w:rPr>
                <w:rStyle w:val="7"/>
                <w:sz w:val="20"/>
                <w:szCs w:val="20"/>
              </w:rPr>
              <w:br w:type="textWrapping"/>
            </w:r>
            <w:r>
              <w:rPr>
                <w:rStyle w:val="6"/>
                <w:rFonts w:hint="default" w:ascii="Times New Roman" w:hAnsi="Times New Roman" w:cs="Times New Roman"/>
                <w:sz w:val="20"/>
                <w:szCs w:val="20"/>
              </w:rPr>
              <w:t>在职人员数：部门（单位）实际在职人数</w:t>
            </w:r>
            <w:r>
              <w:rPr>
                <w:rStyle w:val="7"/>
                <w:sz w:val="20"/>
                <w:szCs w:val="20"/>
              </w:rPr>
              <w:t>，</w:t>
            </w:r>
            <w:r>
              <w:rPr>
                <w:rStyle w:val="6"/>
                <w:rFonts w:hint="default" w:ascii="Times New Roman" w:hAnsi="Times New Roman" w:cs="Times New Roman"/>
                <w:sz w:val="20"/>
                <w:szCs w:val="20"/>
              </w:rPr>
              <w:t>以财政部门确定的部门决算编制口径为准。</w:t>
            </w:r>
            <w:r>
              <w:rPr>
                <w:rStyle w:val="7"/>
                <w:sz w:val="20"/>
                <w:szCs w:val="20"/>
              </w:rPr>
              <w:br w:type="textWrapping"/>
            </w:r>
            <w:r>
              <w:rPr>
                <w:rStyle w:val="6"/>
                <w:rFonts w:hint="default" w:ascii="Times New Roman" w:hAnsi="Times New Roman" w:cs="Times New Roman"/>
                <w:sz w:val="20"/>
                <w:szCs w:val="20"/>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6"/>
                <w:rFonts w:hint="default" w:ascii="Times New Roman" w:hAnsi="Times New Roman" w:cs="Times New Roman"/>
                <w:sz w:val="20"/>
                <w:szCs w:val="20"/>
              </w:rPr>
              <w:t>在职人员控制率≦</w:t>
            </w:r>
            <w:r>
              <w:rPr>
                <w:rStyle w:val="7"/>
                <w:sz w:val="20"/>
                <w:szCs w:val="20"/>
              </w:rPr>
              <w:t>100%</w:t>
            </w:r>
            <w:r>
              <w:rPr>
                <w:rStyle w:val="6"/>
                <w:rFonts w:hint="default" w:ascii="Times New Roman" w:hAnsi="Times New Roman" w:cs="Times New Roman"/>
                <w:sz w:val="20"/>
                <w:szCs w:val="20"/>
              </w:rPr>
              <w:t>计</w:t>
            </w:r>
            <w:r>
              <w:rPr>
                <w:rStyle w:val="7"/>
                <w:sz w:val="20"/>
                <w:szCs w:val="20"/>
              </w:rPr>
              <w:t>2</w:t>
            </w:r>
            <w:r>
              <w:rPr>
                <w:rStyle w:val="6"/>
                <w:rFonts w:hint="default" w:ascii="Times New Roman" w:hAnsi="Times New Roman" w:cs="Times New Roman"/>
                <w:sz w:val="20"/>
                <w:szCs w:val="20"/>
              </w:rPr>
              <w:t>分，每超出</w:t>
            </w:r>
            <w:r>
              <w:rPr>
                <w:rStyle w:val="7"/>
                <w:sz w:val="20"/>
                <w:szCs w:val="20"/>
              </w:rPr>
              <w:t>1%</w:t>
            </w:r>
            <w:r>
              <w:rPr>
                <w:rStyle w:val="6"/>
                <w:rFonts w:hint="default" w:ascii="Times New Roman" w:hAnsi="Times New Roman" w:cs="Times New Roman"/>
                <w:sz w:val="20"/>
                <w:szCs w:val="20"/>
              </w:rPr>
              <w:t>扣</w:t>
            </w:r>
            <w:r>
              <w:rPr>
                <w:rStyle w:val="7"/>
                <w:sz w:val="20"/>
                <w:szCs w:val="20"/>
              </w:rPr>
              <w:t>0.2</w:t>
            </w:r>
            <w:r>
              <w:rPr>
                <w:rStyle w:val="6"/>
                <w:rFonts w:hint="default" w:ascii="Times New Roman" w:hAnsi="Times New Roman" w:cs="Times New Roman"/>
                <w:sz w:val="20"/>
                <w:szCs w:val="20"/>
              </w:rPr>
              <w:t>分，扣完为止。</w:t>
            </w:r>
            <w:r>
              <w:rPr>
                <w:rStyle w:val="7"/>
                <w:sz w:val="20"/>
                <w:szCs w:val="20"/>
              </w:rPr>
              <w:br w:type="textWrapping"/>
            </w:r>
            <w:r>
              <w:rPr>
                <w:rStyle w:val="8"/>
                <w:rFonts w:hint="default" w:ascii="Times New Roman" w:hAnsi="Times New Roman" w:cs="Times New Roman"/>
                <w:color w:val="auto"/>
                <w:sz w:val="20"/>
                <w:szCs w:val="20"/>
              </w:rPr>
              <w:t>聘用人员实际使用数小于等于编办人社部门批复数，计</w:t>
            </w:r>
            <w:r>
              <w:rPr>
                <w:rStyle w:val="9"/>
                <w:color w:val="auto"/>
                <w:sz w:val="20"/>
                <w:szCs w:val="20"/>
              </w:rPr>
              <w:t>2</w:t>
            </w:r>
            <w:r>
              <w:rPr>
                <w:rStyle w:val="8"/>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7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过程</w:t>
            </w:r>
            <w:r>
              <w:rPr>
                <w:rStyle w:val="7"/>
                <w:sz w:val="20"/>
                <w:szCs w:val="20"/>
              </w:rPr>
              <w:br w:type="textWrapping"/>
            </w:r>
            <w:r>
              <w:rPr>
                <w:rStyle w:val="6"/>
                <w:rFonts w:hint="default" w:ascii="Times New Roman" w:hAnsi="Times New Roman" w:cs="Times New Roman"/>
                <w:sz w:val="20"/>
                <w:szCs w:val="20"/>
              </w:rPr>
              <w:t>（</w:t>
            </w:r>
            <w:r>
              <w:rPr>
                <w:rStyle w:val="7"/>
                <w:sz w:val="20"/>
                <w:szCs w:val="20"/>
              </w:rPr>
              <w:t>40</w:t>
            </w:r>
            <w:r>
              <w:rPr>
                <w:rStyle w:val="6"/>
                <w:rFonts w:hint="default" w:ascii="Times New Roman" w:hAnsi="Times New Roman" w:cs="Times New Roman"/>
                <w:sz w:val="20"/>
                <w:szCs w:val="20"/>
              </w:rPr>
              <w:t>分）</w:t>
            </w: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预算</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①预算完成率</w:t>
            </w:r>
            <w:r>
              <w:rPr>
                <w:rStyle w:val="7"/>
                <w:sz w:val="20"/>
                <w:szCs w:val="20"/>
              </w:rPr>
              <w:t>=</w:t>
            </w:r>
            <w:r>
              <w:rPr>
                <w:rStyle w:val="6"/>
                <w:rFonts w:hint="default" w:ascii="Times New Roman" w:hAnsi="Times New Roman" w:cs="Times New Roman"/>
                <w:sz w:val="20"/>
                <w:szCs w:val="20"/>
              </w:rPr>
              <w:t>（预算完成数</w:t>
            </w:r>
            <w:r>
              <w:rPr>
                <w:rStyle w:val="7"/>
                <w:sz w:val="20"/>
                <w:szCs w:val="20"/>
              </w:rPr>
              <w:t>/</w:t>
            </w:r>
            <w:r>
              <w:rPr>
                <w:rStyle w:val="6"/>
                <w:rFonts w:hint="default" w:ascii="Times New Roman" w:hAnsi="Times New Roman" w:cs="Times New Roman"/>
                <w:sz w:val="20"/>
                <w:szCs w:val="20"/>
              </w:rPr>
              <w:t>预算数）</w:t>
            </w:r>
            <w:r>
              <w:rPr>
                <w:rStyle w:val="7"/>
                <w:sz w:val="20"/>
                <w:szCs w:val="20"/>
              </w:rPr>
              <w:t>×100%</w:t>
            </w:r>
            <w:r>
              <w:rPr>
                <w:rStyle w:val="6"/>
                <w:rFonts w:hint="default" w:ascii="Times New Roman" w:hAnsi="Times New Roman" w:cs="Times New Roman"/>
                <w:sz w:val="20"/>
                <w:szCs w:val="20"/>
              </w:rPr>
              <w:t>。</w:t>
            </w:r>
            <w:r>
              <w:rPr>
                <w:rStyle w:val="7"/>
                <w:sz w:val="20"/>
                <w:szCs w:val="20"/>
              </w:rPr>
              <w:br w:type="textWrapping"/>
            </w:r>
            <w:r>
              <w:rPr>
                <w:rStyle w:val="6"/>
                <w:rFonts w:hint="default" w:ascii="Times New Roman" w:hAnsi="Times New Roman" w:cs="Times New Roman"/>
                <w:sz w:val="20"/>
                <w:szCs w:val="20"/>
              </w:rPr>
              <w:t>预算完成数：部门（单位）本年度实际完成的预算数。</w:t>
            </w:r>
            <w:r>
              <w:rPr>
                <w:rStyle w:val="7"/>
                <w:sz w:val="20"/>
                <w:szCs w:val="20"/>
              </w:rPr>
              <w:br w:type="textWrapping"/>
            </w:r>
            <w:r>
              <w:rPr>
                <w:rStyle w:val="6"/>
                <w:rFonts w:hint="default" w:ascii="Times New Roman" w:hAnsi="Times New Roman" w:cs="Times New Roman"/>
                <w:sz w:val="20"/>
                <w:szCs w:val="20"/>
              </w:rPr>
              <w:t>预算数：财政部门批复的本年度部门（单位）预算数及追加的项目预算数。</w:t>
            </w:r>
            <w:r>
              <w:rPr>
                <w:rStyle w:val="7"/>
                <w:sz w:val="20"/>
                <w:szCs w:val="20"/>
              </w:rPr>
              <w:br w:type="textWrapping"/>
            </w:r>
            <w:r>
              <w:rPr>
                <w:rStyle w:val="6"/>
                <w:rFonts w:hint="default" w:ascii="Times New Roman" w:hAnsi="Times New Roman" w:cs="Times New Roman"/>
                <w:sz w:val="20"/>
                <w:szCs w:val="20"/>
              </w:rPr>
              <w:t>②支付序时进度</w:t>
            </w:r>
            <w:r>
              <w:rPr>
                <w:rStyle w:val="7"/>
                <w:sz w:val="20"/>
                <w:szCs w:val="20"/>
              </w:rPr>
              <w:t>=</w:t>
            </w:r>
            <w:r>
              <w:rPr>
                <w:rStyle w:val="6"/>
                <w:rFonts w:hint="default" w:ascii="Times New Roman" w:hAnsi="Times New Roman" w:cs="Times New Roman"/>
                <w:sz w:val="20"/>
                <w:szCs w:val="20"/>
              </w:rPr>
              <w:t>（序时执行数</w:t>
            </w:r>
            <w:r>
              <w:rPr>
                <w:rStyle w:val="7"/>
                <w:sz w:val="20"/>
                <w:szCs w:val="20"/>
              </w:rPr>
              <w:t>/</w:t>
            </w:r>
            <w:r>
              <w:rPr>
                <w:rStyle w:val="6"/>
                <w:rFonts w:hint="default" w:ascii="Times New Roman" w:hAnsi="Times New Roman" w:cs="Times New Roman"/>
                <w:sz w:val="20"/>
                <w:szCs w:val="20"/>
              </w:rPr>
              <w:t>序时指标下达数）</w:t>
            </w:r>
            <w:r>
              <w:rPr>
                <w:rStyle w:val="7"/>
                <w:sz w:val="20"/>
                <w:szCs w:val="20"/>
              </w:rPr>
              <w:t>×100%</w:t>
            </w:r>
            <w:r>
              <w:rPr>
                <w:rStyle w:val="6"/>
                <w:rFonts w:hint="default" w:ascii="Times New Roman" w:hAnsi="Times New Roman" w:cs="Times New Roman"/>
                <w:sz w:val="20"/>
                <w:szCs w:val="20"/>
              </w:rPr>
              <w:t>。</w:t>
            </w:r>
            <w:r>
              <w:rPr>
                <w:rStyle w:val="7"/>
                <w:sz w:val="20"/>
                <w:szCs w:val="20"/>
              </w:rPr>
              <w:br w:type="textWrapping"/>
            </w:r>
            <w:r>
              <w:rPr>
                <w:rStyle w:val="6"/>
                <w:rFonts w:hint="default" w:ascii="Times New Roman" w:hAnsi="Times New Roman" w:cs="Times New Roman"/>
                <w:sz w:val="20"/>
                <w:szCs w:val="20"/>
              </w:rPr>
              <w:t>序时执行数：指按时间节点部门预算项目实际支出数。序时指标下达数：按时间节点给部门预算下达的项目支出和追加的项目支出指标数之和。</w:t>
            </w:r>
            <w:r>
              <w:rPr>
                <w:rStyle w:val="7"/>
                <w:sz w:val="20"/>
                <w:szCs w:val="20"/>
              </w:rPr>
              <w:br w:type="textWrapping"/>
            </w:r>
            <w:r>
              <w:rPr>
                <w:rStyle w:val="6"/>
                <w:rFonts w:hint="default" w:ascii="Times New Roman" w:hAnsi="Times New Roman" w:cs="Times New Roman"/>
                <w:sz w:val="20"/>
                <w:szCs w:val="20"/>
              </w:rPr>
              <w:t>③部门预算项目支出调剂到区县。</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6"/>
                <w:rFonts w:hint="default" w:ascii="Times New Roman" w:hAnsi="Times New Roman" w:cs="Times New Roman"/>
                <w:sz w:val="20"/>
                <w:szCs w:val="20"/>
              </w:rPr>
              <w:t>①全年预算完成率</w:t>
            </w:r>
            <w:r>
              <w:rPr>
                <w:rStyle w:val="7"/>
                <w:sz w:val="20"/>
                <w:szCs w:val="20"/>
              </w:rPr>
              <w:t>95%</w:t>
            </w:r>
            <w:r>
              <w:rPr>
                <w:rStyle w:val="6"/>
                <w:rFonts w:hint="default" w:ascii="Times New Roman" w:hAnsi="Times New Roman" w:cs="Times New Roman"/>
                <w:sz w:val="20"/>
                <w:szCs w:val="20"/>
              </w:rPr>
              <w:t>以上计</w:t>
            </w:r>
            <w:r>
              <w:rPr>
                <w:rStyle w:val="7"/>
                <w:sz w:val="20"/>
                <w:szCs w:val="20"/>
              </w:rPr>
              <w:t>2</w:t>
            </w:r>
            <w:r>
              <w:rPr>
                <w:rStyle w:val="6"/>
                <w:rFonts w:hint="default" w:ascii="Times New Roman" w:hAnsi="Times New Roman" w:cs="Times New Roman"/>
                <w:sz w:val="20"/>
                <w:szCs w:val="20"/>
              </w:rPr>
              <w:t>分，</w:t>
            </w:r>
            <w:r>
              <w:rPr>
                <w:rStyle w:val="7"/>
                <w:sz w:val="20"/>
                <w:szCs w:val="20"/>
              </w:rPr>
              <w:t>95-90%</w:t>
            </w:r>
            <w:r>
              <w:rPr>
                <w:rStyle w:val="6"/>
                <w:rFonts w:hint="default" w:ascii="Times New Roman" w:hAnsi="Times New Roman" w:cs="Times New Roman"/>
                <w:sz w:val="20"/>
                <w:szCs w:val="20"/>
              </w:rPr>
              <w:t>（含），计</w:t>
            </w:r>
            <w:r>
              <w:rPr>
                <w:rStyle w:val="7"/>
                <w:sz w:val="20"/>
                <w:szCs w:val="20"/>
              </w:rPr>
              <w:t>1.5</w:t>
            </w:r>
            <w:r>
              <w:rPr>
                <w:rStyle w:val="6"/>
                <w:rFonts w:hint="default" w:ascii="Times New Roman" w:hAnsi="Times New Roman" w:cs="Times New Roman"/>
                <w:sz w:val="20"/>
                <w:szCs w:val="20"/>
              </w:rPr>
              <w:t>分，</w:t>
            </w:r>
            <w:r>
              <w:rPr>
                <w:rStyle w:val="7"/>
                <w:sz w:val="20"/>
                <w:szCs w:val="20"/>
              </w:rPr>
              <w:t>90-80%</w:t>
            </w:r>
            <w:r>
              <w:rPr>
                <w:rStyle w:val="6"/>
                <w:rFonts w:hint="default" w:ascii="Times New Roman" w:hAnsi="Times New Roman" w:cs="Times New Roman"/>
                <w:sz w:val="20"/>
                <w:szCs w:val="20"/>
              </w:rPr>
              <w:t>（含），计</w:t>
            </w:r>
            <w:r>
              <w:rPr>
                <w:rStyle w:val="7"/>
                <w:sz w:val="20"/>
                <w:szCs w:val="20"/>
              </w:rPr>
              <w:t>1</w:t>
            </w:r>
            <w:r>
              <w:rPr>
                <w:rStyle w:val="6"/>
                <w:rFonts w:hint="default" w:ascii="Times New Roman" w:hAnsi="Times New Roman" w:cs="Times New Roman"/>
                <w:sz w:val="20"/>
                <w:szCs w:val="20"/>
              </w:rPr>
              <w:t>分，小于</w:t>
            </w:r>
            <w:r>
              <w:rPr>
                <w:rStyle w:val="7"/>
                <w:sz w:val="20"/>
                <w:szCs w:val="20"/>
              </w:rPr>
              <w:t>80%</w:t>
            </w:r>
            <w:r>
              <w:rPr>
                <w:rStyle w:val="6"/>
                <w:rFonts w:hint="default" w:ascii="Times New Roman" w:hAnsi="Times New Roman" w:cs="Times New Roman"/>
                <w:sz w:val="20"/>
                <w:szCs w:val="20"/>
              </w:rPr>
              <w:t>不得分；</w:t>
            </w:r>
            <w:r>
              <w:rPr>
                <w:rStyle w:val="7"/>
                <w:sz w:val="20"/>
                <w:szCs w:val="20"/>
              </w:rPr>
              <w:br w:type="textWrapping"/>
            </w:r>
            <w:r>
              <w:rPr>
                <w:rStyle w:val="6"/>
                <w:rFonts w:hint="default" w:ascii="Times New Roman" w:hAnsi="Times New Roman" w:cs="Times New Roman"/>
                <w:sz w:val="20"/>
                <w:szCs w:val="20"/>
              </w:rPr>
              <w:t>②一、二、三季度末支付序时进度分别达到</w:t>
            </w:r>
            <w:r>
              <w:rPr>
                <w:rStyle w:val="7"/>
                <w:sz w:val="20"/>
                <w:szCs w:val="20"/>
              </w:rPr>
              <w:t>20%</w:t>
            </w:r>
            <w:r>
              <w:rPr>
                <w:rStyle w:val="6"/>
                <w:rFonts w:hint="default" w:ascii="Times New Roman" w:hAnsi="Times New Roman" w:cs="Times New Roman"/>
                <w:sz w:val="20"/>
                <w:szCs w:val="20"/>
              </w:rPr>
              <w:t>、</w:t>
            </w:r>
            <w:r>
              <w:rPr>
                <w:rStyle w:val="7"/>
                <w:sz w:val="20"/>
                <w:szCs w:val="20"/>
              </w:rPr>
              <w:t>50%</w:t>
            </w:r>
            <w:r>
              <w:rPr>
                <w:rStyle w:val="6"/>
                <w:rFonts w:hint="default" w:ascii="Times New Roman" w:hAnsi="Times New Roman" w:cs="Times New Roman"/>
                <w:sz w:val="20"/>
                <w:szCs w:val="20"/>
              </w:rPr>
              <w:t>、</w:t>
            </w:r>
            <w:r>
              <w:rPr>
                <w:rStyle w:val="7"/>
                <w:sz w:val="20"/>
                <w:szCs w:val="20"/>
              </w:rPr>
              <w:t>80%</w:t>
            </w:r>
            <w:r>
              <w:rPr>
                <w:rStyle w:val="6"/>
                <w:rFonts w:hint="default" w:ascii="Times New Roman" w:hAnsi="Times New Roman" w:cs="Times New Roman"/>
                <w:sz w:val="20"/>
                <w:szCs w:val="20"/>
              </w:rPr>
              <w:t>（含）以上计</w:t>
            </w:r>
            <w:r>
              <w:rPr>
                <w:rStyle w:val="7"/>
                <w:sz w:val="20"/>
                <w:szCs w:val="20"/>
              </w:rPr>
              <w:t>2</w:t>
            </w:r>
            <w:r>
              <w:rPr>
                <w:rStyle w:val="6"/>
                <w:rFonts w:hint="default" w:ascii="Times New Roman" w:hAnsi="Times New Roman" w:cs="Times New Roman"/>
                <w:sz w:val="20"/>
                <w:szCs w:val="20"/>
              </w:rPr>
              <w:t>分，每低</w:t>
            </w:r>
            <w:r>
              <w:rPr>
                <w:rStyle w:val="7"/>
                <w:sz w:val="20"/>
                <w:szCs w:val="20"/>
              </w:rPr>
              <w:t>1</w:t>
            </w:r>
            <w:r>
              <w:rPr>
                <w:rStyle w:val="6"/>
                <w:rFonts w:hint="default" w:ascii="Times New Roman" w:hAnsi="Times New Roman" w:cs="Times New Roman"/>
                <w:sz w:val="20"/>
                <w:szCs w:val="20"/>
              </w:rPr>
              <w:t>个百分点扣</w:t>
            </w:r>
            <w:r>
              <w:rPr>
                <w:rStyle w:val="7"/>
                <w:sz w:val="20"/>
                <w:szCs w:val="20"/>
              </w:rPr>
              <w:t>0.2</w:t>
            </w:r>
            <w:r>
              <w:rPr>
                <w:rStyle w:val="6"/>
                <w:rFonts w:hint="default" w:ascii="Times New Roman" w:hAnsi="Times New Roman" w:cs="Times New Roman"/>
                <w:sz w:val="20"/>
                <w:szCs w:val="20"/>
              </w:rPr>
              <w:t>分，扣完为止。</w:t>
            </w:r>
            <w:r>
              <w:rPr>
                <w:rStyle w:val="7"/>
                <w:sz w:val="20"/>
                <w:szCs w:val="20"/>
              </w:rPr>
              <w:br w:type="textWrapping"/>
            </w:r>
            <w:r>
              <w:rPr>
                <w:rStyle w:val="6"/>
                <w:rFonts w:hint="default" w:ascii="Times New Roman" w:hAnsi="Times New Roman" w:cs="Times New Roman"/>
                <w:sz w:val="20"/>
                <w:szCs w:val="20"/>
              </w:rPr>
              <w:t>③部门预算项目支出调剂到区县小于等于项目支出</w:t>
            </w:r>
            <w:r>
              <w:rPr>
                <w:rStyle w:val="7"/>
                <w:sz w:val="20"/>
                <w:szCs w:val="20"/>
              </w:rPr>
              <w:t>2%</w:t>
            </w:r>
            <w:r>
              <w:rPr>
                <w:rStyle w:val="6"/>
                <w:rFonts w:hint="default" w:ascii="Times New Roman" w:hAnsi="Times New Roman" w:cs="Times New Roman"/>
                <w:sz w:val="20"/>
                <w:szCs w:val="20"/>
              </w:rPr>
              <w:t>，计</w:t>
            </w:r>
            <w:r>
              <w:rPr>
                <w:rStyle w:val="7"/>
                <w:sz w:val="20"/>
                <w:szCs w:val="20"/>
              </w:rPr>
              <w:t>2</w:t>
            </w:r>
            <w:r>
              <w:rPr>
                <w:rStyle w:val="6"/>
                <w:rFonts w:hint="default" w:ascii="Times New Roman" w:hAnsi="Times New Roman" w:cs="Times New Roman"/>
                <w:sz w:val="20"/>
                <w:szCs w:val="20"/>
              </w:rPr>
              <w:t>分；大于</w:t>
            </w:r>
            <w:r>
              <w:rPr>
                <w:rStyle w:val="7"/>
                <w:sz w:val="20"/>
                <w:szCs w:val="20"/>
              </w:rPr>
              <w:t>2%</w:t>
            </w:r>
            <w:r>
              <w:rPr>
                <w:rStyle w:val="6"/>
                <w:rFonts w:hint="default" w:ascii="Times New Roman" w:hAnsi="Times New Roman" w:cs="Times New Roman"/>
                <w:sz w:val="20"/>
                <w:szCs w:val="20"/>
              </w:rPr>
              <w:t>，不计分；</w:t>
            </w:r>
          </w:p>
        </w:tc>
        <w:tc>
          <w:tcPr>
            <w:tcW w:w="477" w:type="pct"/>
            <w:tcMar>
              <w:top w:w="15" w:type="dxa"/>
              <w:left w:w="15" w:type="dxa"/>
              <w:right w:w="15" w:type="dxa"/>
            </w:tcMar>
            <w:vAlign w:val="center"/>
          </w:tcPr>
          <w:p>
            <w:pPr>
              <w:widowControl/>
              <w:spacing w:line="27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color w:val="000000"/>
                <w:sz w:val="20"/>
                <w:szCs w:val="20"/>
              </w:rPr>
            </w:pPr>
            <w:r>
              <w:rPr>
                <w:rStyle w:val="6"/>
                <w:rFonts w:hint="default" w:ascii="Times New Roman" w:hAnsi="Times New Roman" w:cs="Times New Roman"/>
                <w:sz w:val="20"/>
                <w:szCs w:val="20"/>
              </w:rPr>
              <w:t>过程</w:t>
            </w:r>
            <w:r>
              <w:rPr>
                <w:rStyle w:val="7"/>
                <w:sz w:val="20"/>
                <w:szCs w:val="20"/>
              </w:rPr>
              <w:br w:type="textWrapping"/>
            </w:r>
            <w:r>
              <w:rPr>
                <w:rStyle w:val="6"/>
                <w:rFonts w:hint="default" w:ascii="Times New Roman" w:hAnsi="Times New Roman" w:cs="Times New Roman"/>
                <w:sz w:val="20"/>
                <w:szCs w:val="20"/>
              </w:rPr>
              <w:t>（</w:t>
            </w:r>
            <w:r>
              <w:rPr>
                <w:rStyle w:val="7"/>
                <w:sz w:val="20"/>
                <w:szCs w:val="20"/>
              </w:rPr>
              <w:t>40</w:t>
            </w:r>
            <w:r>
              <w:rPr>
                <w:rStyle w:val="6"/>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预算</w:t>
            </w:r>
          </w:p>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调整率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预算调整率</w:t>
            </w:r>
            <w:r>
              <w:rPr>
                <w:rStyle w:val="7"/>
                <w:sz w:val="20"/>
                <w:szCs w:val="20"/>
              </w:rPr>
              <w:t>=</w:t>
            </w:r>
            <w:r>
              <w:rPr>
                <w:rStyle w:val="6"/>
                <w:rFonts w:hint="default" w:ascii="Times New Roman" w:hAnsi="Times New Roman" w:cs="Times New Roman"/>
                <w:sz w:val="20"/>
                <w:szCs w:val="20"/>
              </w:rPr>
              <w:t>（预算调整数</w:t>
            </w:r>
            <w:r>
              <w:rPr>
                <w:rStyle w:val="7"/>
                <w:sz w:val="20"/>
                <w:szCs w:val="20"/>
              </w:rPr>
              <w:t>/</w:t>
            </w:r>
            <w:r>
              <w:rPr>
                <w:rStyle w:val="6"/>
                <w:rFonts w:hint="default" w:ascii="Times New Roman" w:hAnsi="Times New Roman" w:cs="Times New Roman"/>
                <w:sz w:val="20"/>
                <w:szCs w:val="20"/>
              </w:rPr>
              <w:t>预算数）</w:t>
            </w:r>
            <w:r>
              <w:rPr>
                <w:rStyle w:val="7"/>
                <w:sz w:val="20"/>
                <w:szCs w:val="20"/>
              </w:rPr>
              <w:t>×100%</w:t>
            </w:r>
            <w:r>
              <w:rPr>
                <w:rStyle w:val="6"/>
                <w:rFonts w:hint="default" w:ascii="Times New Roman" w:hAnsi="Times New Roman" w:cs="Times New Roman"/>
                <w:sz w:val="20"/>
                <w:szCs w:val="20"/>
              </w:rPr>
              <w:t>。</w:t>
            </w:r>
            <w:r>
              <w:rPr>
                <w:rStyle w:val="7"/>
                <w:sz w:val="20"/>
                <w:szCs w:val="20"/>
              </w:rPr>
              <w:br w:type="textWrapping"/>
            </w:r>
            <w:r>
              <w:rPr>
                <w:rStyle w:val="6"/>
                <w:rFonts w:hint="default" w:ascii="Times New Roman" w:hAnsi="Times New Roman" w:cs="Times New Roman"/>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6"/>
                <w:rFonts w:hint="default" w:ascii="Times New Roman" w:hAnsi="Times New Roman" w:cs="Times New Roman"/>
                <w:sz w:val="20"/>
                <w:szCs w:val="20"/>
              </w:rPr>
              <w:t>预算调整率</w:t>
            </w:r>
            <w:r>
              <w:rPr>
                <w:rStyle w:val="7"/>
                <w:sz w:val="20"/>
                <w:szCs w:val="20"/>
              </w:rPr>
              <w:t>&lt;5%</w:t>
            </w:r>
            <w:r>
              <w:rPr>
                <w:rStyle w:val="6"/>
                <w:rFonts w:hint="default" w:ascii="Times New Roman" w:hAnsi="Times New Roman" w:cs="Times New Roman"/>
                <w:sz w:val="20"/>
                <w:szCs w:val="20"/>
              </w:rPr>
              <w:t>，计</w:t>
            </w:r>
            <w:r>
              <w:rPr>
                <w:rStyle w:val="7"/>
                <w:sz w:val="20"/>
                <w:szCs w:val="20"/>
              </w:rPr>
              <w:t>3</w:t>
            </w:r>
            <w:r>
              <w:rPr>
                <w:rStyle w:val="6"/>
                <w:rFonts w:hint="default" w:ascii="Times New Roman" w:hAnsi="Times New Roman" w:cs="Times New Roman"/>
                <w:sz w:val="20"/>
                <w:szCs w:val="20"/>
              </w:rPr>
              <w:t>分；</w:t>
            </w:r>
            <w:r>
              <w:rPr>
                <w:rStyle w:val="7"/>
                <w:sz w:val="20"/>
                <w:szCs w:val="20"/>
              </w:rPr>
              <w:t>5-10%</w:t>
            </w:r>
            <w:r>
              <w:rPr>
                <w:rStyle w:val="6"/>
                <w:rFonts w:hint="default" w:ascii="Times New Roman" w:hAnsi="Times New Roman" w:cs="Times New Roman"/>
                <w:sz w:val="20"/>
                <w:szCs w:val="20"/>
              </w:rPr>
              <w:t>（含），计</w:t>
            </w:r>
            <w:r>
              <w:rPr>
                <w:rStyle w:val="7"/>
                <w:sz w:val="20"/>
                <w:szCs w:val="20"/>
              </w:rPr>
              <w:t>1.5</w:t>
            </w:r>
            <w:r>
              <w:rPr>
                <w:rStyle w:val="6"/>
                <w:rFonts w:hint="default" w:ascii="Times New Roman" w:hAnsi="Times New Roman" w:cs="Times New Roman"/>
                <w:sz w:val="20"/>
                <w:szCs w:val="20"/>
              </w:rPr>
              <w:t>分；大于</w:t>
            </w:r>
            <w:r>
              <w:rPr>
                <w:rStyle w:val="7"/>
                <w:sz w:val="20"/>
                <w:szCs w:val="20"/>
              </w:rPr>
              <w:t>10%</w:t>
            </w:r>
            <w:r>
              <w:rPr>
                <w:rStyle w:val="6"/>
                <w:rFonts w:hint="default" w:ascii="Times New Roman" w:hAnsi="Times New Roman" w:cs="Times New Roman"/>
                <w:sz w:val="20"/>
                <w:szCs w:val="20"/>
              </w:rPr>
              <w:t>不得分。</w:t>
            </w:r>
          </w:p>
        </w:tc>
        <w:tc>
          <w:tcPr>
            <w:tcW w:w="477" w:type="pct"/>
            <w:tcMar>
              <w:top w:w="15" w:type="dxa"/>
              <w:left w:w="15" w:type="dxa"/>
              <w:right w:w="15" w:type="dxa"/>
            </w:tcMar>
            <w:vAlign w:val="center"/>
          </w:tcPr>
          <w:p>
            <w:pPr>
              <w:widowControl/>
              <w:spacing w:line="26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color w:val="000000"/>
                <w:kern w:val="0"/>
                <w:sz w:val="20"/>
                <w:szCs w:val="20"/>
              </w:rPr>
              <w:t>根据市政府文件规定，预算单位年度安排的市级预算资金不能结转。</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color w:val="000000"/>
                <w:kern w:val="0"/>
                <w:sz w:val="20"/>
                <w:szCs w:val="20"/>
              </w:rPr>
              <w:t>市本级资金无结转，计2分；有结转，不计分；</w:t>
            </w:r>
          </w:p>
        </w:tc>
        <w:tc>
          <w:tcPr>
            <w:tcW w:w="477" w:type="pct"/>
            <w:tcMar>
              <w:top w:w="15" w:type="dxa"/>
              <w:left w:w="15" w:type="dxa"/>
              <w:right w:w="15" w:type="dxa"/>
            </w:tcMar>
            <w:vAlign w:val="center"/>
          </w:tcPr>
          <w:p>
            <w:pPr>
              <w:widowControl/>
              <w:spacing w:line="260" w:lineRule="exact"/>
              <w:textAlignment w:val="center"/>
              <w:rPr>
                <w:color w:val="000000"/>
                <w:kern w:val="0"/>
                <w:sz w:val="20"/>
                <w:szCs w:val="20"/>
              </w:rPr>
            </w:pPr>
            <w:r>
              <w:rPr>
                <w:rFonts w:hint="eastAsia"/>
                <w:color w:val="000000"/>
                <w:kern w:val="0"/>
                <w:sz w:val="20"/>
                <w:szCs w:val="20"/>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7"/>
                <w:sz w:val="20"/>
                <w:szCs w:val="20"/>
              </w:rPr>
              <w:t>“</w:t>
            </w:r>
            <w:r>
              <w:rPr>
                <w:rStyle w:val="6"/>
                <w:rFonts w:hint="default" w:ascii="Times New Roman" w:hAnsi="Times New Roman" w:cs="Times New Roman"/>
                <w:sz w:val="20"/>
                <w:szCs w:val="20"/>
              </w:rPr>
              <w:t>三公</w:t>
            </w:r>
          </w:p>
          <w:p>
            <w:pPr>
              <w:widowControl/>
              <w:spacing w:line="260" w:lineRule="exact"/>
              <w:jc w:val="center"/>
              <w:textAlignment w:val="center"/>
              <w:rPr>
                <w:rStyle w:val="7"/>
                <w:sz w:val="20"/>
                <w:szCs w:val="20"/>
              </w:rPr>
            </w:pPr>
            <w:r>
              <w:rPr>
                <w:rStyle w:val="6"/>
                <w:rFonts w:hint="default" w:ascii="Times New Roman" w:hAnsi="Times New Roman" w:cs="Times New Roman"/>
                <w:sz w:val="20"/>
                <w:szCs w:val="20"/>
              </w:rPr>
              <w:t>经费</w:t>
            </w:r>
            <w:r>
              <w:rPr>
                <w:rStyle w:val="7"/>
                <w:sz w:val="20"/>
                <w:szCs w:val="20"/>
              </w:rPr>
              <w:t>”</w:t>
            </w:r>
          </w:p>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控制率</w:t>
            </w:r>
            <w:r>
              <w:rPr>
                <w:rStyle w:val="7"/>
                <w:sz w:val="20"/>
                <w:szCs w:val="20"/>
              </w:rPr>
              <w:t>=</w:t>
            </w:r>
            <w:r>
              <w:rPr>
                <w:rStyle w:val="6"/>
                <w:rFonts w:hint="default" w:ascii="Times New Roman" w:hAnsi="Times New Roman" w:cs="Times New Roman"/>
                <w:sz w:val="20"/>
                <w:szCs w:val="20"/>
              </w:rPr>
              <w:t>（</w:t>
            </w: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实际支出数</w:t>
            </w: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预算安排数）</w:t>
            </w:r>
            <w:r>
              <w:rPr>
                <w:rStyle w:val="7"/>
                <w:sz w:val="20"/>
                <w:szCs w:val="20"/>
              </w:rPr>
              <w:t>×100%</w:t>
            </w:r>
            <w:r>
              <w:rPr>
                <w:rStyle w:val="6"/>
                <w:rFonts w:hint="default" w:ascii="Times New Roman" w:hAnsi="Times New Roman" w:cs="Times New Roman"/>
                <w:sz w:val="20"/>
                <w:szCs w:val="20"/>
              </w:rPr>
              <w:t>。不超当年预算，不超上年决算。</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控制率</w:t>
            </w:r>
            <w:r>
              <w:rPr>
                <w:rStyle w:val="7"/>
                <w:sz w:val="20"/>
                <w:szCs w:val="20"/>
              </w:rPr>
              <w:t>100%</w:t>
            </w:r>
            <w:r>
              <w:rPr>
                <w:rStyle w:val="6"/>
                <w:rFonts w:hint="default" w:ascii="Times New Roman" w:hAnsi="Times New Roman" w:cs="Times New Roman"/>
                <w:sz w:val="20"/>
                <w:szCs w:val="20"/>
              </w:rPr>
              <w:t>以下（含）计</w:t>
            </w:r>
            <w:r>
              <w:rPr>
                <w:rStyle w:val="7"/>
                <w:sz w:val="20"/>
                <w:szCs w:val="20"/>
              </w:rPr>
              <w:t>2</w:t>
            </w:r>
            <w:r>
              <w:rPr>
                <w:rStyle w:val="6"/>
                <w:rFonts w:hint="default" w:ascii="Times New Roman" w:hAnsi="Times New Roman" w:cs="Times New Roman"/>
                <w:sz w:val="20"/>
                <w:szCs w:val="20"/>
              </w:rPr>
              <w:t>分，每超出</w:t>
            </w:r>
            <w:r>
              <w:rPr>
                <w:rStyle w:val="7"/>
                <w:sz w:val="20"/>
                <w:szCs w:val="20"/>
              </w:rPr>
              <w:t>1%</w:t>
            </w:r>
            <w:r>
              <w:rPr>
                <w:rStyle w:val="6"/>
                <w:rFonts w:hint="default" w:ascii="Times New Roman" w:hAnsi="Times New Roman" w:cs="Times New Roman"/>
                <w:sz w:val="20"/>
                <w:szCs w:val="20"/>
              </w:rPr>
              <w:t>扣</w:t>
            </w:r>
            <w:r>
              <w:rPr>
                <w:rStyle w:val="7"/>
                <w:sz w:val="20"/>
                <w:szCs w:val="20"/>
              </w:rPr>
              <w:t>0.15</w:t>
            </w:r>
            <w:r>
              <w:rPr>
                <w:rStyle w:val="6"/>
                <w:rFonts w:hint="default" w:ascii="Times New Roman" w:hAnsi="Times New Roman" w:cs="Times New Roman"/>
                <w:sz w:val="20"/>
                <w:szCs w:val="20"/>
              </w:rPr>
              <w:t>分，扣完为止。</w:t>
            </w:r>
          </w:p>
        </w:tc>
        <w:tc>
          <w:tcPr>
            <w:tcW w:w="477" w:type="pct"/>
            <w:tcMar>
              <w:top w:w="15" w:type="dxa"/>
              <w:left w:w="15" w:type="dxa"/>
              <w:right w:w="15" w:type="dxa"/>
            </w:tcMar>
            <w:vAlign w:val="center"/>
          </w:tcPr>
          <w:p>
            <w:pPr>
              <w:widowControl/>
              <w:spacing w:line="260" w:lineRule="exact"/>
              <w:textAlignment w:val="center"/>
              <w:rPr>
                <w:rStyle w:val="7"/>
                <w:sz w:val="20"/>
                <w:szCs w:val="20"/>
              </w:rPr>
            </w:pPr>
            <w:r>
              <w:rPr>
                <w:rStyle w:val="7"/>
                <w:rFonts w:hint="eastAsia"/>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政府采购</w:t>
            </w:r>
            <w:r>
              <w:rPr>
                <w:color w:val="000000"/>
                <w:kern w:val="0"/>
                <w:sz w:val="20"/>
                <w:szCs w:val="20"/>
              </w:rPr>
              <w:br w:type="textWrapping"/>
            </w:r>
            <w:r>
              <w:rPr>
                <w:color w:val="000000"/>
                <w:kern w:val="0"/>
                <w:sz w:val="20"/>
                <w:szCs w:val="20"/>
              </w:rPr>
              <w:t>执行率和</w:t>
            </w:r>
            <w:r>
              <w:rPr>
                <w:color w:val="000000"/>
                <w:kern w:val="0"/>
                <w:sz w:val="20"/>
                <w:szCs w:val="20"/>
              </w:rPr>
              <w:br w:type="textWrapping"/>
            </w:r>
            <w:r>
              <w:rPr>
                <w:color w:val="000000"/>
                <w:kern w:val="0"/>
                <w:sz w:val="20"/>
                <w:szCs w:val="20"/>
              </w:rPr>
              <w:t>规范性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政府采购执行率</w:t>
            </w:r>
            <w:r>
              <w:rPr>
                <w:rStyle w:val="7"/>
                <w:sz w:val="20"/>
                <w:szCs w:val="20"/>
              </w:rPr>
              <w:t>=</w:t>
            </w:r>
            <w:r>
              <w:rPr>
                <w:rStyle w:val="6"/>
                <w:rFonts w:hint="default" w:ascii="Times New Roman" w:hAnsi="Times New Roman" w:cs="Times New Roman"/>
                <w:sz w:val="20"/>
                <w:szCs w:val="20"/>
              </w:rPr>
              <w:t>（实际政府采购金额</w:t>
            </w:r>
            <w:r>
              <w:rPr>
                <w:rStyle w:val="7"/>
                <w:sz w:val="20"/>
                <w:szCs w:val="20"/>
              </w:rPr>
              <w:t>/</w:t>
            </w:r>
            <w:r>
              <w:rPr>
                <w:rStyle w:val="6"/>
                <w:rFonts w:hint="default" w:ascii="Times New Roman" w:hAnsi="Times New Roman" w:cs="Times New Roman"/>
                <w:sz w:val="20"/>
                <w:szCs w:val="20"/>
              </w:rPr>
              <w:t>政府采购预算数）</w:t>
            </w:r>
            <w:r>
              <w:rPr>
                <w:rStyle w:val="7"/>
                <w:sz w:val="20"/>
                <w:szCs w:val="20"/>
              </w:rPr>
              <w:t>×100%</w:t>
            </w:r>
            <w:r>
              <w:rPr>
                <w:rStyle w:val="6"/>
                <w:rFonts w:hint="default" w:ascii="Times New Roman" w:hAnsi="Times New Roman" w:cs="Times New Roman"/>
                <w:sz w:val="20"/>
                <w:szCs w:val="20"/>
              </w:rPr>
              <w:t>；</w:t>
            </w:r>
            <w:r>
              <w:rPr>
                <w:rStyle w:val="7"/>
                <w:sz w:val="20"/>
                <w:szCs w:val="20"/>
              </w:rPr>
              <w:br w:type="textWrapping"/>
            </w:r>
            <w:r>
              <w:rPr>
                <w:rStyle w:val="6"/>
                <w:rFonts w:hint="default" w:ascii="Times New Roman" w:hAnsi="Times New Roman" w:cs="Times New Roman"/>
                <w:spacing w:val="-6"/>
                <w:sz w:val="20"/>
                <w:szCs w:val="20"/>
              </w:rPr>
              <w:t>政府采购预算：采购机关根据事业发展计划和行政任务编制的、并经过规定程序批准的年度政府采购计划。</w:t>
            </w:r>
            <w:r>
              <w:rPr>
                <w:rStyle w:val="6"/>
                <w:rFonts w:hint="default" w:ascii="Times New Roman" w:hAnsi="Times New Roman" w:cs="Times New Roman"/>
                <w:sz w:val="20"/>
                <w:szCs w:val="20"/>
              </w:rPr>
              <w:br w:type="textWrapping"/>
            </w:r>
            <w:r>
              <w:rPr>
                <w:rStyle w:val="6"/>
                <w:rFonts w:hint="default" w:ascii="Times New Roman" w:hAnsi="Times New Roman" w:cs="Times New Roman"/>
                <w:sz w:val="20"/>
                <w:szCs w:val="20"/>
              </w:rPr>
              <w:t>预算单位严格执行《</w:t>
            </w:r>
            <w:r>
              <w:rPr>
                <w:rStyle w:val="6"/>
                <w:rFonts w:hint="eastAsia" w:cs="Times New Roman"/>
                <w:sz w:val="20"/>
                <w:szCs w:val="20"/>
                <w:lang w:eastAsia="zh-CN"/>
              </w:rPr>
              <w:t>中华人民共和国</w:t>
            </w:r>
            <w:bookmarkStart w:id="0" w:name="_GoBack"/>
            <w:bookmarkEnd w:id="0"/>
            <w:r>
              <w:rPr>
                <w:rStyle w:val="6"/>
                <w:rFonts w:hint="default" w:ascii="Times New Roman" w:hAnsi="Times New Roman" w:cs="Times New Roman"/>
                <w:sz w:val="20"/>
                <w:szCs w:val="20"/>
              </w:rPr>
              <w:t>政府采购法》，无规避政府采购或化整为零进行政府采购的行为。所有项目必须依法采购，履行验收手续。</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6"/>
                <w:rFonts w:hint="default" w:ascii="Times New Roman" w:hAnsi="Times New Roman" w:cs="Times New Roman"/>
                <w:sz w:val="20"/>
                <w:szCs w:val="20"/>
              </w:rPr>
              <w:t>政府采购执行率</w:t>
            </w:r>
            <w:r>
              <w:rPr>
                <w:rStyle w:val="7"/>
                <w:sz w:val="20"/>
                <w:szCs w:val="20"/>
              </w:rPr>
              <w:t>100%</w:t>
            </w:r>
            <w:r>
              <w:rPr>
                <w:rStyle w:val="6"/>
                <w:rFonts w:hint="default" w:ascii="Times New Roman" w:hAnsi="Times New Roman" w:cs="Times New Roman"/>
                <w:sz w:val="20"/>
                <w:szCs w:val="20"/>
              </w:rPr>
              <w:t>计</w:t>
            </w:r>
            <w:r>
              <w:rPr>
                <w:rStyle w:val="7"/>
                <w:sz w:val="20"/>
                <w:szCs w:val="20"/>
              </w:rPr>
              <w:t>1</w:t>
            </w:r>
            <w:r>
              <w:rPr>
                <w:rStyle w:val="6"/>
                <w:rFonts w:hint="default" w:ascii="Times New Roman" w:hAnsi="Times New Roman" w:cs="Times New Roman"/>
                <w:sz w:val="20"/>
                <w:szCs w:val="20"/>
              </w:rPr>
              <w:t>分，每超过（降低）</w:t>
            </w:r>
            <w:r>
              <w:rPr>
                <w:rStyle w:val="7"/>
                <w:sz w:val="20"/>
                <w:szCs w:val="20"/>
              </w:rPr>
              <w:t>1%</w:t>
            </w:r>
            <w:r>
              <w:rPr>
                <w:rStyle w:val="6"/>
                <w:rFonts w:hint="default" w:ascii="Times New Roman" w:hAnsi="Times New Roman" w:cs="Times New Roman"/>
                <w:sz w:val="20"/>
                <w:szCs w:val="20"/>
              </w:rPr>
              <w:t>扣</w:t>
            </w:r>
            <w:r>
              <w:rPr>
                <w:rStyle w:val="7"/>
                <w:sz w:val="20"/>
                <w:szCs w:val="20"/>
              </w:rPr>
              <w:t>0.1</w:t>
            </w:r>
            <w:r>
              <w:rPr>
                <w:rStyle w:val="6"/>
                <w:rFonts w:hint="default" w:ascii="Times New Roman" w:hAnsi="Times New Roman" w:cs="Times New Roman"/>
                <w:sz w:val="20"/>
                <w:szCs w:val="20"/>
              </w:rPr>
              <w:t>分，扣完为止。</w:t>
            </w:r>
            <w:r>
              <w:rPr>
                <w:rStyle w:val="7"/>
                <w:sz w:val="20"/>
                <w:szCs w:val="20"/>
              </w:rPr>
              <w:br w:type="textWrapping"/>
            </w:r>
            <w:r>
              <w:rPr>
                <w:rStyle w:val="6"/>
                <w:rFonts w:hint="default" w:ascii="Times New Roman" w:hAnsi="Times New Roman" w:cs="Times New Roman"/>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预算</w:t>
            </w:r>
            <w:r>
              <w:rPr>
                <w:rStyle w:val="7"/>
                <w:sz w:val="20"/>
                <w:szCs w:val="20"/>
              </w:rPr>
              <w:br w:type="textWrapping"/>
            </w:r>
            <w:r>
              <w:rPr>
                <w:rStyle w:val="6"/>
                <w:rFonts w:hint="default" w:ascii="Times New Roman" w:hAnsi="Times New Roman" w:cs="Times New Roman"/>
                <w:sz w:val="20"/>
                <w:szCs w:val="20"/>
              </w:rPr>
              <w:t>管理</w:t>
            </w:r>
            <w:r>
              <w:rPr>
                <w:rStyle w:val="7"/>
                <w:sz w:val="20"/>
                <w:szCs w:val="20"/>
              </w:rPr>
              <w:br w:type="textWrapping"/>
            </w:r>
            <w:r>
              <w:rPr>
                <w:rStyle w:val="6"/>
                <w:rFonts w:hint="default" w:ascii="Times New Roman" w:hAnsi="Times New Roman" w:cs="Times New Roman"/>
                <w:sz w:val="20"/>
                <w:szCs w:val="20"/>
              </w:rPr>
              <w:t>（</w:t>
            </w:r>
            <w:r>
              <w:rPr>
                <w:rStyle w:val="7"/>
                <w:sz w:val="20"/>
                <w:szCs w:val="20"/>
              </w:rPr>
              <w:t>20</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管理制度</w:t>
            </w:r>
            <w:r>
              <w:rPr>
                <w:rStyle w:val="7"/>
                <w:sz w:val="20"/>
                <w:szCs w:val="20"/>
              </w:rPr>
              <w:br w:type="textWrapping"/>
            </w:r>
            <w:r>
              <w:rPr>
                <w:rStyle w:val="6"/>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①部门（单位）内控制度、内部财务管理制度和会计核算制度是否健全；</w:t>
            </w:r>
            <w:r>
              <w:rPr>
                <w:rStyle w:val="7"/>
                <w:sz w:val="20"/>
                <w:szCs w:val="20"/>
              </w:rPr>
              <w:br w:type="textWrapping"/>
            </w:r>
            <w:r>
              <w:rPr>
                <w:rStyle w:val="6"/>
                <w:rFonts w:hint="default" w:ascii="Times New Roman" w:hAnsi="Times New Roman" w:cs="Times New Roman"/>
                <w:sz w:val="20"/>
                <w:szCs w:val="20"/>
              </w:rPr>
              <w:t>②相关管理制度是否合法、合规、完整；</w:t>
            </w:r>
            <w:r>
              <w:rPr>
                <w:rStyle w:val="7"/>
                <w:sz w:val="20"/>
                <w:szCs w:val="20"/>
              </w:rPr>
              <w:br w:type="textWrapping"/>
            </w:r>
            <w:r>
              <w:rPr>
                <w:rStyle w:val="6"/>
                <w:rFonts w:hint="default" w:ascii="Times New Roman" w:hAnsi="Times New Roman" w:cs="Times New Roman"/>
                <w:sz w:val="20"/>
                <w:szCs w:val="20"/>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6"/>
                <w:rFonts w:hint="default" w:ascii="Times New Roman" w:hAnsi="Times New Roman" w:cs="Times New Roman"/>
                <w:sz w:val="20"/>
                <w:szCs w:val="20"/>
              </w:rPr>
              <w:t>①部门（单位）内控制度、内部财务管理制度和会计核算制度健全，计</w:t>
            </w:r>
            <w:r>
              <w:rPr>
                <w:rStyle w:val="7"/>
                <w:sz w:val="20"/>
                <w:szCs w:val="20"/>
              </w:rPr>
              <w:t>1</w:t>
            </w:r>
            <w:r>
              <w:rPr>
                <w:rStyle w:val="6"/>
                <w:rFonts w:hint="default" w:ascii="Times New Roman" w:hAnsi="Times New Roman" w:cs="Times New Roman"/>
                <w:sz w:val="20"/>
                <w:szCs w:val="20"/>
              </w:rPr>
              <w:t>分，否则酌情扣分；</w:t>
            </w:r>
            <w:r>
              <w:rPr>
                <w:rStyle w:val="7"/>
                <w:sz w:val="20"/>
                <w:szCs w:val="20"/>
              </w:rPr>
              <w:br w:type="textWrapping"/>
            </w:r>
            <w:r>
              <w:rPr>
                <w:rStyle w:val="6"/>
                <w:rFonts w:hint="default" w:ascii="Times New Roman" w:hAnsi="Times New Roman" w:cs="Times New Roman"/>
                <w:sz w:val="20"/>
                <w:szCs w:val="20"/>
              </w:rPr>
              <w:t>②管理制度合法、合规、完整，计</w:t>
            </w:r>
            <w:r>
              <w:rPr>
                <w:rStyle w:val="7"/>
                <w:sz w:val="20"/>
                <w:szCs w:val="20"/>
              </w:rPr>
              <w:t>1</w:t>
            </w:r>
            <w:r>
              <w:rPr>
                <w:rStyle w:val="6"/>
                <w:rFonts w:hint="default" w:ascii="Times New Roman" w:hAnsi="Times New Roman" w:cs="Times New Roman"/>
                <w:sz w:val="20"/>
                <w:szCs w:val="20"/>
              </w:rPr>
              <w:t>分，否则酌情扣分；</w:t>
            </w:r>
            <w:r>
              <w:rPr>
                <w:rStyle w:val="7"/>
                <w:sz w:val="20"/>
                <w:szCs w:val="20"/>
              </w:rPr>
              <w:br w:type="textWrapping"/>
            </w:r>
            <w:r>
              <w:rPr>
                <w:rStyle w:val="6"/>
                <w:rFonts w:hint="default" w:ascii="Times New Roman" w:hAnsi="Times New Roman" w:cs="Times New Roman"/>
                <w:sz w:val="20"/>
                <w:szCs w:val="20"/>
              </w:rPr>
              <w:t>③管理制度得到有效执行，计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6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资金使用</w:t>
            </w:r>
            <w:r>
              <w:rPr>
                <w:rStyle w:val="7"/>
                <w:sz w:val="20"/>
                <w:szCs w:val="20"/>
              </w:rPr>
              <w:br w:type="textWrapping"/>
            </w:r>
            <w:r>
              <w:rPr>
                <w:rStyle w:val="6"/>
                <w:rFonts w:hint="default" w:ascii="Times New Roman" w:hAnsi="Times New Roman" w:cs="Times New Roman"/>
                <w:sz w:val="20"/>
                <w:szCs w:val="20"/>
              </w:rPr>
              <w:t>合规性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①是否符合国家财经法规和财务管理制度以及有关专项资金管理办法的规定；</w:t>
            </w:r>
            <w:r>
              <w:rPr>
                <w:rStyle w:val="7"/>
                <w:sz w:val="20"/>
                <w:szCs w:val="20"/>
              </w:rPr>
              <w:br w:type="textWrapping"/>
            </w:r>
            <w:r>
              <w:rPr>
                <w:rStyle w:val="6"/>
                <w:rFonts w:hint="default" w:ascii="Times New Roman" w:hAnsi="Times New Roman" w:cs="Times New Roman"/>
                <w:sz w:val="20"/>
                <w:szCs w:val="20"/>
              </w:rPr>
              <w:t>②资金的支付是否有完整的审批程序和手续；</w:t>
            </w:r>
            <w:r>
              <w:rPr>
                <w:rStyle w:val="7"/>
                <w:sz w:val="20"/>
                <w:szCs w:val="20"/>
              </w:rPr>
              <w:br w:type="textWrapping"/>
            </w:r>
            <w:r>
              <w:rPr>
                <w:rStyle w:val="6"/>
                <w:rFonts w:hint="default" w:ascii="Times New Roman" w:hAnsi="Times New Roman" w:cs="Times New Roman"/>
                <w:sz w:val="20"/>
                <w:szCs w:val="20"/>
              </w:rPr>
              <w:t>③重大项目开支和大额资金使用是否经单位党组集体研究决策；</w:t>
            </w:r>
            <w:r>
              <w:rPr>
                <w:rStyle w:val="7"/>
                <w:sz w:val="20"/>
                <w:szCs w:val="20"/>
              </w:rPr>
              <w:br w:type="textWrapping"/>
            </w:r>
            <w:r>
              <w:rPr>
                <w:rStyle w:val="6"/>
                <w:rFonts w:hint="default" w:ascii="Times New Roman" w:hAnsi="Times New Roman" w:cs="Times New Roman"/>
                <w:sz w:val="20"/>
                <w:szCs w:val="20"/>
              </w:rPr>
              <w:t>④是否符合项目预算批复或合同规定的用途；</w:t>
            </w:r>
            <w:r>
              <w:rPr>
                <w:rStyle w:val="7"/>
                <w:sz w:val="20"/>
                <w:szCs w:val="20"/>
              </w:rPr>
              <w:br w:type="textWrapping"/>
            </w:r>
            <w:r>
              <w:rPr>
                <w:rStyle w:val="6"/>
                <w:rFonts w:hint="default" w:ascii="Times New Roman" w:hAnsi="Times New Roman" w:cs="Times New Roman"/>
                <w:sz w:val="20"/>
                <w:szCs w:val="20"/>
              </w:rPr>
              <w:t>⑤是否存在截留、挤占、挪用、虚列支出等情况；</w:t>
            </w:r>
            <w:r>
              <w:rPr>
                <w:rStyle w:val="7"/>
                <w:sz w:val="20"/>
                <w:szCs w:val="20"/>
              </w:rPr>
              <w:br w:type="textWrapping"/>
            </w:r>
            <w:r>
              <w:rPr>
                <w:rStyle w:val="6"/>
                <w:rFonts w:hint="default" w:ascii="Times New Roman" w:hAnsi="Times New Roman" w:cs="Times New Roman"/>
                <w:sz w:val="20"/>
                <w:szCs w:val="20"/>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6"/>
                <w:rFonts w:hint="default" w:ascii="Times New Roman" w:hAnsi="Times New Roman" w:cs="Times New Roman"/>
                <w:sz w:val="20"/>
                <w:szCs w:val="20"/>
              </w:rPr>
              <w:t>①符合国家财经法规和财务管理制度以及有关专项资金管理办法的规定，计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r>
              <w:rPr>
                <w:rStyle w:val="7"/>
                <w:sz w:val="20"/>
                <w:szCs w:val="20"/>
              </w:rPr>
              <w:br w:type="textWrapping"/>
            </w:r>
            <w:r>
              <w:rPr>
                <w:rStyle w:val="6"/>
                <w:rFonts w:hint="default" w:ascii="Times New Roman" w:hAnsi="Times New Roman" w:cs="Times New Roman"/>
                <w:sz w:val="20"/>
                <w:szCs w:val="20"/>
              </w:rPr>
              <w:t>②资金的支付有完整的审批程序和手续，计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r>
              <w:rPr>
                <w:rStyle w:val="7"/>
                <w:sz w:val="20"/>
                <w:szCs w:val="20"/>
              </w:rPr>
              <w:br w:type="textWrapping"/>
            </w:r>
            <w:r>
              <w:rPr>
                <w:rStyle w:val="6"/>
                <w:rFonts w:hint="default" w:ascii="Times New Roman" w:hAnsi="Times New Roman" w:cs="Times New Roman"/>
                <w:sz w:val="20"/>
                <w:szCs w:val="20"/>
              </w:rPr>
              <w:t>③重大项目开支和大额资金使用经过单位党组集体研究决策，计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r>
              <w:rPr>
                <w:rStyle w:val="7"/>
                <w:sz w:val="20"/>
                <w:szCs w:val="20"/>
              </w:rPr>
              <w:br w:type="textWrapping"/>
            </w:r>
            <w:r>
              <w:rPr>
                <w:rStyle w:val="6"/>
                <w:rFonts w:hint="default" w:ascii="Times New Roman" w:hAnsi="Times New Roman" w:cs="Times New Roman"/>
                <w:sz w:val="20"/>
                <w:szCs w:val="20"/>
              </w:rPr>
              <w:t>④符合项目预算批复或合同规定的用途，计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r>
              <w:rPr>
                <w:rStyle w:val="7"/>
                <w:sz w:val="20"/>
                <w:szCs w:val="20"/>
              </w:rPr>
              <w:br w:type="textWrapping"/>
            </w:r>
            <w:r>
              <w:rPr>
                <w:rStyle w:val="6"/>
                <w:rFonts w:hint="default" w:ascii="Times New Roman" w:hAnsi="Times New Roman" w:cs="Times New Roman"/>
                <w:sz w:val="20"/>
                <w:szCs w:val="20"/>
              </w:rPr>
              <w:t>⑤不存在截留、挤占、挪用、虚列支出等情况，计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例不符合本指标</w:t>
            </w:r>
            <w:r>
              <w:rPr>
                <w:rStyle w:val="7"/>
                <w:sz w:val="20"/>
                <w:szCs w:val="20"/>
              </w:rPr>
              <w:t>6</w:t>
            </w:r>
            <w:r>
              <w:rPr>
                <w:rStyle w:val="6"/>
                <w:rFonts w:hint="default" w:ascii="Times New Roman" w:hAnsi="Times New Roman" w:cs="Times New Roman"/>
                <w:sz w:val="20"/>
                <w:szCs w:val="20"/>
              </w:rPr>
              <w:t>分全扣；</w:t>
            </w:r>
            <w:r>
              <w:rPr>
                <w:rStyle w:val="7"/>
                <w:sz w:val="20"/>
                <w:szCs w:val="20"/>
              </w:rPr>
              <w:br w:type="textWrapping"/>
            </w:r>
            <w:r>
              <w:rPr>
                <w:rStyle w:val="6"/>
                <w:rFonts w:hint="default" w:ascii="Times New Roman" w:hAnsi="Times New Roman" w:cs="Times New Roman"/>
                <w:sz w:val="20"/>
                <w:szCs w:val="20"/>
              </w:rPr>
              <w:t>⑥</w:t>
            </w:r>
            <w:r>
              <w:rPr>
                <w:rStyle w:val="6"/>
                <w:rFonts w:hint="default" w:ascii="Times New Roman" w:hAnsi="Times New Roman" w:cs="Times New Roman"/>
                <w:spacing w:val="-6"/>
                <w:sz w:val="20"/>
                <w:szCs w:val="20"/>
              </w:rPr>
              <w:t>不存在重复申报项目、虚报冒领资金，计</w:t>
            </w:r>
            <w:r>
              <w:rPr>
                <w:rStyle w:val="7"/>
                <w:spacing w:val="-6"/>
                <w:sz w:val="20"/>
                <w:szCs w:val="20"/>
              </w:rPr>
              <w:t>1</w:t>
            </w:r>
            <w:r>
              <w:rPr>
                <w:rStyle w:val="6"/>
                <w:rFonts w:hint="default" w:ascii="Times New Roman" w:hAnsi="Times New Roman" w:cs="Times New Roman"/>
                <w:spacing w:val="-6"/>
                <w:sz w:val="20"/>
                <w:szCs w:val="20"/>
              </w:rPr>
              <w:t>分，</w:t>
            </w:r>
            <w:r>
              <w:rPr>
                <w:rStyle w:val="7"/>
                <w:spacing w:val="-6"/>
                <w:sz w:val="20"/>
                <w:szCs w:val="20"/>
              </w:rPr>
              <w:t>1</w:t>
            </w:r>
            <w:r>
              <w:rPr>
                <w:rStyle w:val="6"/>
                <w:rFonts w:hint="default" w:ascii="Times New Roman" w:hAnsi="Times New Roman" w:cs="Times New Roman"/>
                <w:spacing w:val="-6"/>
                <w:sz w:val="20"/>
                <w:szCs w:val="20"/>
              </w:rPr>
              <w:t>例不符合本指标6分全扣；</w:t>
            </w:r>
            <w:r>
              <w:rPr>
                <w:rStyle w:val="6"/>
                <w:rFonts w:hint="default" w:ascii="Times New Roman" w:hAnsi="Times New Roman" w:cs="Times New Roman"/>
                <w:sz w:val="20"/>
                <w:szCs w:val="20"/>
              </w:rPr>
              <w:br w:type="textWrapping"/>
            </w:r>
            <w:r>
              <w:rPr>
                <w:rStyle w:val="6"/>
                <w:rFonts w:hint="default" w:ascii="Times New Roman" w:hAnsi="Times New Roman" w:cs="Times New Roman"/>
                <w:sz w:val="20"/>
                <w:szCs w:val="20"/>
              </w:rPr>
              <w:t>⑦违规情况特别严重的，重点绩效评价等级定为“差”。</w:t>
            </w:r>
          </w:p>
        </w:tc>
        <w:tc>
          <w:tcPr>
            <w:tcW w:w="477" w:type="pct"/>
            <w:tcMar>
              <w:top w:w="15" w:type="dxa"/>
              <w:left w:w="15" w:type="dxa"/>
              <w:right w:w="15" w:type="dxa"/>
            </w:tcMar>
            <w:vAlign w:val="center"/>
          </w:tcPr>
          <w:p>
            <w:pPr>
              <w:widowControl/>
              <w:spacing w:line="26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rStyle w:val="6"/>
                <w:rFonts w:hint="default" w:ascii="Times New Roman" w:hAnsi="Times New Roman" w:cs="Times New Roman"/>
                <w:sz w:val="20"/>
                <w:szCs w:val="20"/>
              </w:rPr>
              <w:t>过程</w:t>
            </w:r>
            <w:r>
              <w:rPr>
                <w:rStyle w:val="7"/>
                <w:sz w:val="20"/>
                <w:szCs w:val="20"/>
              </w:rPr>
              <w:br w:type="textWrapping"/>
            </w:r>
            <w:r>
              <w:rPr>
                <w:rStyle w:val="6"/>
                <w:rFonts w:hint="default" w:ascii="Times New Roman" w:hAnsi="Times New Roman" w:cs="Times New Roman"/>
                <w:sz w:val="20"/>
                <w:szCs w:val="20"/>
              </w:rPr>
              <w:t>（</w:t>
            </w:r>
            <w:r>
              <w:rPr>
                <w:rStyle w:val="7"/>
                <w:sz w:val="20"/>
                <w:szCs w:val="20"/>
              </w:rPr>
              <w:t>40</w:t>
            </w:r>
            <w:r>
              <w:rPr>
                <w:rStyle w:val="6"/>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预算</w:t>
            </w:r>
            <w:r>
              <w:rPr>
                <w:rStyle w:val="7"/>
                <w:sz w:val="20"/>
                <w:szCs w:val="20"/>
              </w:rPr>
              <w:br w:type="textWrapping"/>
            </w:r>
            <w:r>
              <w:rPr>
                <w:rStyle w:val="6"/>
                <w:rFonts w:hint="default" w:ascii="Times New Roman" w:hAnsi="Times New Roman" w:cs="Times New Roman"/>
                <w:sz w:val="20"/>
                <w:szCs w:val="20"/>
              </w:rPr>
              <w:t>管理</w:t>
            </w:r>
            <w:r>
              <w:rPr>
                <w:rStyle w:val="7"/>
                <w:sz w:val="20"/>
                <w:szCs w:val="20"/>
              </w:rPr>
              <w:br w:type="textWrapping"/>
            </w:r>
            <w:r>
              <w:rPr>
                <w:rStyle w:val="6"/>
                <w:rFonts w:hint="default" w:ascii="Times New Roman" w:hAnsi="Times New Roman" w:cs="Times New Roman"/>
                <w:sz w:val="20"/>
                <w:szCs w:val="20"/>
              </w:rPr>
              <w:t>（</w:t>
            </w:r>
            <w:r>
              <w:rPr>
                <w:rStyle w:val="7"/>
                <w:sz w:val="20"/>
                <w:szCs w:val="20"/>
              </w:rPr>
              <w:t>20</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①预算单位按规定及时、准确、完整的公开预决算和绩效管理信息；</w:t>
            </w:r>
            <w:r>
              <w:rPr>
                <w:rStyle w:val="7"/>
                <w:sz w:val="20"/>
                <w:szCs w:val="20"/>
              </w:rPr>
              <w:br w:type="textWrapping"/>
            </w:r>
            <w:r>
              <w:rPr>
                <w:rStyle w:val="6"/>
                <w:rFonts w:hint="default" w:ascii="Times New Roman" w:hAnsi="Times New Roman" w:cs="Times New Roman"/>
                <w:sz w:val="20"/>
                <w:szCs w:val="20"/>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①、②各计</w:t>
            </w:r>
            <w:r>
              <w:rPr>
                <w:rStyle w:val="7"/>
                <w:sz w:val="20"/>
                <w:szCs w:val="20"/>
              </w:rPr>
              <w:t>1</w:t>
            </w:r>
            <w:r>
              <w:rPr>
                <w:rStyle w:val="6"/>
                <w:rFonts w:hint="default" w:ascii="Times New Roman" w:hAnsi="Times New Roman" w:cs="Times New Roman"/>
                <w:sz w:val="20"/>
                <w:szCs w:val="20"/>
              </w:rPr>
              <w:t>分，否则，酌情扣分；</w:t>
            </w:r>
          </w:p>
        </w:tc>
        <w:tc>
          <w:tcPr>
            <w:tcW w:w="477" w:type="pct"/>
            <w:tcMar>
              <w:top w:w="15" w:type="dxa"/>
              <w:left w:w="15" w:type="dxa"/>
              <w:right w:w="15" w:type="dxa"/>
            </w:tcMar>
            <w:vAlign w:val="center"/>
          </w:tcPr>
          <w:p>
            <w:pPr>
              <w:widowControl/>
              <w:spacing w:line="28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绩效自评</w:t>
            </w:r>
            <w:r>
              <w:rPr>
                <w:rStyle w:val="7"/>
                <w:sz w:val="20"/>
                <w:szCs w:val="20"/>
              </w:rPr>
              <w:br w:type="textWrapping"/>
            </w:r>
            <w:r>
              <w:rPr>
                <w:rStyle w:val="6"/>
                <w:rFonts w:hint="default" w:ascii="Times New Roman" w:hAnsi="Times New Roman" w:cs="Times New Roman"/>
                <w:sz w:val="20"/>
                <w:szCs w:val="20"/>
              </w:rPr>
              <w:t>管理情况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根据市财政局2020年考核结果，评审为优，计</w:t>
            </w:r>
            <w:r>
              <w:rPr>
                <w:rStyle w:val="7"/>
                <w:sz w:val="20"/>
                <w:szCs w:val="20"/>
              </w:rPr>
              <w:t>4</w:t>
            </w:r>
            <w:r>
              <w:rPr>
                <w:rStyle w:val="6"/>
                <w:rFonts w:hint="default" w:ascii="Times New Roman" w:hAnsi="Times New Roman" w:cs="Times New Roman"/>
                <w:sz w:val="20"/>
                <w:szCs w:val="20"/>
              </w:rPr>
              <w:t>分；评审为良，计</w:t>
            </w:r>
            <w:r>
              <w:rPr>
                <w:rStyle w:val="7"/>
                <w:sz w:val="20"/>
                <w:szCs w:val="20"/>
              </w:rPr>
              <w:t>3</w:t>
            </w:r>
            <w:r>
              <w:rPr>
                <w:rStyle w:val="6"/>
                <w:rFonts w:hint="default" w:ascii="Times New Roman" w:hAnsi="Times New Roman" w:cs="Times New Roman"/>
                <w:sz w:val="20"/>
                <w:szCs w:val="20"/>
              </w:rPr>
              <w:t>分；评审为中，计</w:t>
            </w:r>
            <w:r>
              <w:rPr>
                <w:rStyle w:val="7"/>
                <w:sz w:val="20"/>
                <w:szCs w:val="20"/>
              </w:rPr>
              <w:t>2</w:t>
            </w:r>
            <w:r>
              <w:rPr>
                <w:rStyle w:val="6"/>
                <w:rFonts w:hint="default" w:ascii="Times New Roman" w:hAnsi="Times New Roman" w:cs="Times New Roman"/>
                <w:sz w:val="20"/>
                <w:szCs w:val="20"/>
              </w:rPr>
              <w:t>分；评审为低，计</w:t>
            </w:r>
            <w:r>
              <w:rPr>
                <w:rStyle w:val="7"/>
                <w:sz w:val="20"/>
                <w:szCs w:val="20"/>
              </w:rPr>
              <w:t>1</w:t>
            </w:r>
            <w:r>
              <w:rPr>
                <w:rStyle w:val="6"/>
                <w:rFonts w:hint="default" w:ascii="Times New Roman" w:hAnsi="Times New Roman" w:cs="Times New Roman"/>
                <w:sz w:val="20"/>
                <w:szCs w:val="20"/>
              </w:rPr>
              <w:t>分；评审为差，计</w:t>
            </w:r>
            <w:r>
              <w:rPr>
                <w:rStyle w:val="7"/>
                <w:sz w:val="20"/>
                <w:szCs w:val="20"/>
              </w:rPr>
              <w:t>0</w:t>
            </w:r>
            <w:r>
              <w:rPr>
                <w:rStyle w:val="6"/>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8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2019年重点评价问题全部整改，计</w:t>
            </w:r>
            <w:r>
              <w:rPr>
                <w:rStyle w:val="7"/>
                <w:sz w:val="20"/>
                <w:szCs w:val="20"/>
              </w:rPr>
              <w:t>5</w:t>
            </w:r>
            <w:r>
              <w:rPr>
                <w:rStyle w:val="6"/>
                <w:rFonts w:hint="default" w:ascii="Times New Roman" w:hAnsi="Times New Roman" w:cs="Times New Roman"/>
                <w:sz w:val="20"/>
                <w:szCs w:val="20"/>
              </w:rPr>
              <w:t>分；2019年重点评价问题部分整改，计</w:t>
            </w:r>
            <w:r>
              <w:rPr>
                <w:rStyle w:val="7"/>
                <w:sz w:val="20"/>
                <w:szCs w:val="20"/>
              </w:rPr>
              <w:t>3</w:t>
            </w:r>
            <w:r>
              <w:rPr>
                <w:rStyle w:val="6"/>
                <w:rFonts w:hint="default" w:ascii="Times New Roman" w:hAnsi="Times New Roman" w:cs="Times New Roman"/>
                <w:sz w:val="20"/>
                <w:szCs w:val="20"/>
              </w:rPr>
              <w:t>分；2019年重点评价问题未整改且无整改情况说明的不计分。</w:t>
            </w:r>
          </w:p>
        </w:tc>
        <w:tc>
          <w:tcPr>
            <w:tcW w:w="477" w:type="pct"/>
            <w:tcMar>
              <w:top w:w="15" w:type="dxa"/>
              <w:left w:w="15" w:type="dxa"/>
              <w:right w:w="15" w:type="dxa"/>
            </w:tcMar>
            <w:vAlign w:val="center"/>
          </w:tcPr>
          <w:p>
            <w:pPr>
              <w:widowControl/>
              <w:spacing w:line="28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资产</w:t>
            </w:r>
            <w:r>
              <w:rPr>
                <w:rStyle w:val="7"/>
                <w:sz w:val="20"/>
                <w:szCs w:val="20"/>
              </w:rPr>
              <w:br w:type="textWrapping"/>
            </w:r>
            <w:r>
              <w:rPr>
                <w:rStyle w:val="6"/>
                <w:rFonts w:hint="default" w:ascii="Times New Roman" w:hAnsi="Times New Roman" w:cs="Times New Roman"/>
                <w:sz w:val="20"/>
                <w:szCs w:val="20"/>
              </w:rPr>
              <w:t>管理</w:t>
            </w:r>
            <w:r>
              <w:rPr>
                <w:rStyle w:val="7"/>
                <w:sz w:val="20"/>
                <w:szCs w:val="20"/>
              </w:rPr>
              <w:br w:type="textWrapping"/>
            </w:r>
            <w:r>
              <w:rPr>
                <w:rStyle w:val="6"/>
                <w:rFonts w:hint="default" w:ascii="Times New Roman" w:hAnsi="Times New Roman" w:cs="Times New Roman"/>
                <w:sz w:val="20"/>
                <w:szCs w:val="20"/>
              </w:rPr>
              <w:t>（</w:t>
            </w:r>
            <w:r>
              <w:rPr>
                <w:rStyle w:val="7"/>
                <w:sz w:val="20"/>
                <w:szCs w:val="20"/>
              </w:rPr>
              <w:t>5</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资产</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管理</w:t>
            </w:r>
            <w:r>
              <w:rPr>
                <w:rStyle w:val="7"/>
                <w:sz w:val="20"/>
                <w:szCs w:val="20"/>
              </w:rPr>
              <w:br w:type="textWrapping"/>
            </w:r>
            <w:r>
              <w:rPr>
                <w:rStyle w:val="6"/>
                <w:rFonts w:hint="default" w:ascii="Times New Roman" w:hAnsi="Times New Roman" w:cs="Times New Roman"/>
                <w:sz w:val="20"/>
                <w:szCs w:val="20"/>
              </w:rPr>
              <w:t>制度</w:t>
            </w:r>
          </w:p>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①是否已制定合法、合规、完整的资产管理制度；</w:t>
            </w:r>
            <w:r>
              <w:rPr>
                <w:rStyle w:val="7"/>
                <w:sz w:val="20"/>
                <w:szCs w:val="20"/>
              </w:rPr>
              <w:br w:type="textWrapping"/>
            </w:r>
            <w:r>
              <w:rPr>
                <w:rStyle w:val="6"/>
                <w:rFonts w:hint="default" w:ascii="Times New Roman" w:hAnsi="Times New Roman" w:cs="Times New Roman"/>
                <w:sz w:val="20"/>
                <w:szCs w:val="20"/>
              </w:rPr>
              <w:t>②相关资产管理制度是否得到有效执行；</w:t>
            </w:r>
            <w:r>
              <w:rPr>
                <w:rStyle w:val="7"/>
                <w:sz w:val="20"/>
                <w:szCs w:val="20"/>
              </w:rPr>
              <w:br w:type="textWrapping"/>
            </w:r>
            <w:r>
              <w:rPr>
                <w:rStyle w:val="6"/>
                <w:rFonts w:hint="default" w:ascii="Times New Roman" w:hAnsi="Times New Roman" w:cs="Times New Roman"/>
                <w:sz w:val="20"/>
                <w:szCs w:val="20"/>
              </w:rPr>
              <w:t>③资产配置是否编制年度预算；</w:t>
            </w:r>
            <w:r>
              <w:rPr>
                <w:rStyle w:val="6"/>
                <w:rFonts w:hint="default" w:ascii="Times New Roman" w:hAnsi="Times New Roman" w:cs="Times New Roman"/>
                <w:sz w:val="20"/>
                <w:szCs w:val="20"/>
              </w:rPr>
              <w:br w:type="textWrapping"/>
            </w:r>
            <w:r>
              <w:rPr>
                <w:rStyle w:val="6"/>
                <w:rFonts w:hint="default" w:ascii="Times New Roman" w:hAnsi="Times New Roman" w:cs="Times New Roman"/>
                <w:sz w:val="20"/>
                <w:szCs w:val="20"/>
              </w:rPr>
              <w:t>④资产配置预算实际执行情况。</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①已制定合法、合规、完整的资产管理制度，计</w:t>
            </w:r>
            <w:r>
              <w:rPr>
                <w:rStyle w:val="7"/>
                <w:sz w:val="20"/>
                <w:szCs w:val="20"/>
              </w:rPr>
              <w:t>0.5</w:t>
            </w:r>
            <w:r>
              <w:rPr>
                <w:rStyle w:val="6"/>
                <w:rFonts w:hint="default" w:ascii="Times New Roman" w:hAnsi="Times New Roman" w:cs="Times New Roman"/>
                <w:sz w:val="20"/>
                <w:szCs w:val="20"/>
              </w:rPr>
              <w:t>分，否则不得分；</w:t>
            </w:r>
            <w:r>
              <w:rPr>
                <w:rStyle w:val="7"/>
                <w:sz w:val="20"/>
                <w:szCs w:val="20"/>
              </w:rPr>
              <w:br w:type="textWrapping"/>
            </w:r>
            <w:r>
              <w:rPr>
                <w:rStyle w:val="6"/>
                <w:rFonts w:hint="default" w:ascii="Times New Roman" w:hAnsi="Times New Roman" w:cs="Times New Roman"/>
                <w:sz w:val="20"/>
                <w:szCs w:val="20"/>
              </w:rPr>
              <w:t>②相关资产管理制度得到有效执行，计</w:t>
            </w:r>
            <w:r>
              <w:rPr>
                <w:rStyle w:val="7"/>
                <w:sz w:val="20"/>
                <w:szCs w:val="20"/>
              </w:rPr>
              <w:t>0.5</w:t>
            </w:r>
            <w:r>
              <w:rPr>
                <w:rStyle w:val="6"/>
                <w:rFonts w:hint="default" w:ascii="Times New Roman" w:hAnsi="Times New Roman" w:cs="Times New Roman"/>
                <w:sz w:val="20"/>
                <w:szCs w:val="20"/>
              </w:rPr>
              <w:t>分，否则，不得分；</w:t>
            </w:r>
            <w:r>
              <w:rPr>
                <w:rStyle w:val="7"/>
                <w:sz w:val="20"/>
                <w:szCs w:val="20"/>
              </w:rPr>
              <w:br w:type="textWrapping"/>
            </w:r>
            <w:r>
              <w:rPr>
                <w:rStyle w:val="6"/>
                <w:rFonts w:hint="default" w:ascii="Times New Roman" w:hAnsi="Times New Roman" w:cs="Times New Roman"/>
                <w:sz w:val="20"/>
                <w:szCs w:val="20"/>
              </w:rPr>
              <w:t>③资产管理编制年度预算，计</w:t>
            </w:r>
            <w:r>
              <w:rPr>
                <w:rStyle w:val="7"/>
                <w:sz w:val="20"/>
                <w:szCs w:val="20"/>
              </w:rPr>
              <w:t>0.5</w:t>
            </w:r>
            <w:r>
              <w:rPr>
                <w:rStyle w:val="6"/>
                <w:rFonts w:hint="default" w:ascii="Times New Roman" w:hAnsi="Times New Roman" w:cs="Times New Roman"/>
                <w:sz w:val="20"/>
                <w:szCs w:val="20"/>
              </w:rPr>
              <w:t>分，未编制不得分。</w:t>
            </w:r>
            <w:r>
              <w:rPr>
                <w:rStyle w:val="7"/>
                <w:sz w:val="20"/>
                <w:szCs w:val="20"/>
              </w:rPr>
              <w:br w:type="textWrapping"/>
            </w:r>
            <w:r>
              <w:rPr>
                <w:rStyle w:val="6"/>
                <w:rFonts w:hint="default" w:ascii="Times New Roman" w:hAnsi="Times New Roman" w:cs="Times New Roman"/>
                <w:sz w:val="20"/>
                <w:szCs w:val="20"/>
              </w:rPr>
              <w:t>④资产配置预算实际执行情况未超年度预算（按程序审批除外），计</w:t>
            </w:r>
            <w:r>
              <w:rPr>
                <w:rStyle w:val="7"/>
                <w:sz w:val="20"/>
                <w:szCs w:val="20"/>
              </w:rPr>
              <w:t>0.5</w:t>
            </w:r>
            <w:r>
              <w:rPr>
                <w:rStyle w:val="6"/>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8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资产管理</w:t>
            </w:r>
            <w:r>
              <w:rPr>
                <w:rStyle w:val="7"/>
                <w:sz w:val="20"/>
                <w:szCs w:val="20"/>
              </w:rPr>
              <w:br w:type="textWrapping"/>
            </w:r>
            <w:r>
              <w:rPr>
                <w:rStyle w:val="6"/>
                <w:rFonts w:hint="default" w:ascii="Times New Roman" w:hAnsi="Times New Roman" w:cs="Times New Roman"/>
                <w:sz w:val="20"/>
                <w:szCs w:val="20"/>
              </w:rPr>
              <w:t>安全性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①资产保存是否完整并有台账；</w:t>
            </w:r>
            <w:r>
              <w:rPr>
                <w:rStyle w:val="7"/>
                <w:sz w:val="20"/>
                <w:szCs w:val="20"/>
              </w:rPr>
              <w:br w:type="textWrapping"/>
            </w:r>
            <w:r>
              <w:rPr>
                <w:rStyle w:val="6"/>
                <w:rFonts w:hint="default" w:ascii="Times New Roman" w:hAnsi="Times New Roman" w:cs="Times New Roman"/>
                <w:sz w:val="20"/>
                <w:szCs w:val="20"/>
              </w:rPr>
              <w:t>②资产配置是否合理；</w:t>
            </w:r>
            <w:r>
              <w:rPr>
                <w:rStyle w:val="7"/>
                <w:sz w:val="20"/>
                <w:szCs w:val="20"/>
              </w:rPr>
              <w:br w:type="textWrapping"/>
            </w:r>
            <w:r>
              <w:rPr>
                <w:rStyle w:val="6"/>
                <w:rFonts w:hint="default" w:ascii="Times New Roman" w:hAnsi="Times New Roman" w:cs="Times New Roman"/>
                <w:sz w:val="20"/>
                <w:szCs w:val="20"/>
              </w:rPr>
              <w:t>③资产处置是否规范；</w:t>
            </w:r>
            <w:r>
              <w:rPr>
                <w:rStyle w:val="7"/>
                <w:sz w:val="20"/>
                <w:szCs w:val="20"/>
              </w:rPr>
              <w:br w:type="textWrapping"/>
            </w:r>
            <w:r>
              <w:rPr>
                <w:rStyle w:val="6"/>
                <w:rFonts w:hint="default" w:ascii="Times New Roman" w:hAnsi="Times New Roman" w:cs="Times New Roman"/>
                <w:sz w:val="20"/>
                <w:szCs w:val="20"/>
              </w:rPr>
              <w:t>④资产账务管理是否合规，是否帐实相符；</w:t>
            </w:r>
            <w:r>
              <w:rPr>
                <w:rStyle w:val="7"/>
                <w:sz w:val="20"/>
                <w:szCs w:val="20"/>
              </w:rPr>
              <w:br w:type="textWrapping"/>
            </w:r>
            <w:r>
              <w:rPr>
                <w:rStyle w:val="6"/>
                <w:rFonts w:hint="default" w:ascii="Times New Roman" w:hAnsi="Times New Roman" w:cs="Times New Roman"/>
                <w:sz w:val="20"/>
                <w:szCs w:val="20"/>
              </w:rPr>
              <w:t>⑤资产是否有偿使用或处置收入及时足额上缴；</w:t>
            </w:r>
            <w:r>
              <w:rPr>
                <w:rStyle w:val="7"/>
                <w:sz w:val="20"/>
                <w:szCs w:val="20"/>
              </w:rPr>
              <w:br w:type="textWrapping"/>
            </w:r>
            <w:r>
              <w:rPr>
                <w:rStyle w:val="6"/>
                <w:rFonts w:hint="default" w:ascii="Times New Roman" w:hAnsi="Times New Roman" w:cs="Times New Roman"/>
                <w:sz w:val="20"/>
                <w:szCs w:val="20"/>
              </w:rPr>
              <w:t>⑥相关资产购置是否履行政府采购手续；</w:t>
            </w:r>
            <w:r>
              <w:rPr>
                <w:rStyle w:val="7"/>
                <w:sz w:val="20"/>
                <w:szCs w:val="20"/>
              </w:rPr>
              <w:br w:type="textWrapping"/>
            </w:r>
            <w:r>
              <w:rPr>
                <w:rStyle w:val="6"/>
                <w:rFonts w:hint="default" w:ascii="Times New Roman" w:hAnsi="Times New Roman" w:cs="Times New Roman"/>
                <w:sz w:val="20"/>
                <w:szCs w:val="20"/>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①资产配置合理符合标准、保管完整，账务管理规范，定期盘点并有台账，账实相符的，计</w:t>
            </w:r>
            <w:r>
              <w:rPr>
                <w:rStyle w:val="7"/>
                <w:sz w:val="20"/>
                <w:szCs w:val="20"/>
              </w:rPr>
              <w:t>0.5</w:t>
            </w:r>
            <w:r>
              <w:rPr>
                <w:rStyle w:val="6"/>
                <w:rFonts w:hint="default" w:ascii="Times New Roman" w:hAnsi="Times New Roman" w:cs="Times New Roman"/>
                <w:sz w:val="20"/>
                <w:szCs w:val="20"/>
              </w:rPr>
              <w:t>分，发现一例不符，扣</w:t>
            </w:r>
            <w:r>
              <w:rPr>
                <w:rStyle w:val="7"/>
                <w:sz w:val="20"/>
                <w:szCs w:val="20"/>
              </w:rPr>
              <w:t>0.1</w:t>
            </w:r>
            <w:r>
              <w:rPr>
                <w:rStyle w:val="6"/>
                <w:rFonts w:hint="default" w:ascii="Times New Roman" w:hAnsi="Times New Roman" w:cs="Times New Roman"/>
                <w:sz w:val="20"/>
                <w:szCs w:val="20"/>
              </w:rPr>
              <w:t>分，扣完为止；</w:t>
            </w:r>
            <w:r>
              <w:rPr>
                <w:rStyle w:val="7"/>
                <w:sz w:val="20"/>
                <w:szCs w:val="20"/>
              </w:rPr>
              <w:br w:type="textWrapping"/>
            </w:r>
            <w:r>
              <w:rPr>
                <w:rStyle w:val="6"/>
                <w:rFonts w:hint="default" w:ascii="Times New Roman" w:hAnsi="Times New Roman" w:cs="Times New Roman"/>
                <w:sz w:val="20"/>
                <w:szCs w:val="20"/>
              </w:rPr>
              <w:t>②资产处置规范，计0.5分，发现一例不符，扣0.1分，扣完为止；</w:t>
            </w:r>
            <w:r>
              <w:rPr>
                <w:rStyle w:val="7"/>
                <w:sz w:val="20"/>
                <w:szCs w:val="20"/>
              </w:rPr>
              <w:br w:type="textWrapping"/>
            </w:r>
            <w:r>
              <w:rPr>
                <w:rStyle w:val="6"/>
                <w:rFonts w:hint="default" w:ascii="Times New Roman" w:hAnsi="Times New Roman" w:cs="Times New Roman"/>
                <w:sz w:val="20"/>
                <w:szCs w:val="20"/>
              </w:rPr>
              <w:t>③资产有偿使用或处置收入及时足额上缴，计0.5分，发现未上缴，本项不得分；</w:t>
            </w:r>
            <w:r>
              <w:rPr>
                <w:rStyle w:val="7"/>
                <w:sz w:val="20"/>
                <w:szCs w:val="20"/>
              </w:rPr>
              <w:br w:type="textWrapping"/>
            </w:r>
            <w:r>
              <w:rPr>
                <w:rStyle w:val="6"/>
                <w:rFonts w:hint="default" w:ascii="Times New Roman" w:hAnsi="Times New Roman" w:cs="Times New Roman"/>
                <w:sz w:val="20"/>
                <w:szCs w:val="20"/>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 xml:space="preserv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固定资产</w:t>
            </w:r>
            <w:r>
              <w:rPr>
                <w:rStyle w:val="7"/>
                <w:sz w:val="20"/>
                <w:szCs w:val="20"/>
              </w:rPr>
              <w:br w:type="textWrapping"/>
            </w:r>
            <w:r>
              <w:rPr>
                <w:rStyle w:val="6"/>
                <w:rFonts w:hint="default" w:ascii="Times New Roman" w:hAnsi="Times New Roman" w:cs="Times New Roman"/>
                <w:sz w:val="20"/>
                <w:szCs w:val="20"/>
              </w:rPr>
              <w:t>保管和使用情况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rPr>
              <w:t>①是否建立固定资产台账，实行编码管理；</w:t>
            </w:r>
            <w:r>
              <w:rPr>
                <w:color w:val="000000"/>
                <w:kern w:val="0"/>
                <w:sz w:val="20"/>
                <w:szCs w:val="20"/>
              </w:rPr>
              <w:br w:type="textWrapping"/>
            </w:r>
            <w:r>
              <w:rPr>
                <w:color w:val="000000"/>
                <w:kern w:val="0"/>
                <w:sz w:val="20"/>
                <w:szCs w:val="20"/>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实际</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完成率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完成</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及时性</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质量</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达标率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重点工作办结率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经济效益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社会效益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生态效益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 xml:space="preserve">   92.5</w:t>
            </w:r>
          </w:p>
        </w:tc>
      </w:tr>
    </w:tbl>
    <w:p/>
    <w:p/>
    <w:p>
      <w:pPr>
        <w:widowControl/>
        <w:spacing w:line="600" w:lineRule="exact"/>
        <w:rPr>
          <w:rFonts w:eastAsia="黑体"/>
          <w:kern w:val="0"/>
          <w:sz w:val="32"/>
          <w:szCs w:val="32"/>
        </w:rPr>
      </w:pPr>
      <w:r>
        <w:rPr>
          <w:rFonts w:eastAsia="黑体"/>
          <w:kern w:val="0"/>
          <w:sz w:val="32"/>
          <w:szCs w:val="32"/>
        </w:rPr>
        <w:t>附件</w:t>
      </w:r>
      <w:r>
        <w:rPr>
          <w:rFonts w:hint="eastAsia" w:eastAsia="黑体"/>
          <w:kern w:val="0"/>
          <w:sz w:val="32"/>
          <w:szCs w:val="32"/>
        </w:rPr>
        <w:t>3</w:t>
      </w:r>
    </w:p>
    <w:p>
      <w:pPr>
        <w:jc w:val="left"/>
        <w:rPr>
          <w:rFonts w:ascii="仿宋_GB2312" w:hAnsi="仿宋_GB2312" w:eastAsia="仿宋_GB2312" w:cs="仿宋_GB2312"/>
          <w:kern w:val="0"/>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2020年度雨花区委统战部部门整体支出预算绩效自评报告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单位名称（盖章）：</w:t>
      </w:r>
    </w:p>
    <w:p>
      <w:pPr>
        <w:jc w:val="center"/>
        <w:rPr>
          <w:rFonts w:eastAsia="黑体"/>
          <w:sz w:val="36"/>
          <w:szCs w:val="36"/>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pStyle w:val="10"/>
        <w:widowControl/>
        <w:numPr>
          <w:ilvl w:val="0"/>
          <w:numId w:val="1"/>
        </w:numPr>
        <w:spacing w:line="520" w:lineRule="exact"/>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部门基本情况</w:t>
      </w:r>
    </w:p>
    <w:p>
      <w:pPr>
        <w:spacing w:line="520" w:lineRule="exact"/>
        <w:ind w:firstLine="640" w:firstLineChars="200"/>
        <w:jc w:val="left"/>
        <w:rPr>
          <w:rFonts w:eastAsia="仿宋_GB2312"/>
          <w:sz w:val="32"/>
          <w:szCs w:val="32"/>
        </w:rPr>
      </w:pPr>
      <w:r>
        <w:rPr>
          <w:rFonts w:hint="eastAsia" w:eastAsia="仿宋_GB2312"/>
          <w:sz w:val="32"/>
          <w:szCs w:val="32"/>
        </w:rPr>
        <w:t>中共长沙市雨花区委统一战线工作部是雨花区委主管统一战线的职能部门,统一领导和管理区民族宗教事务局、区归侨侨眷联合会、党外人士服务中心。行政级别为正科级，现有在职在岗13人、退休人员7人、雇员1人，共21人</w:t>
      </w:r>
      <w:r>
        <w:rPr>
          <w:rFonts w:hint="eastAsia" w:ascii="仿宋_GB2312" w:hAnsi="宋体" w:eastAsia="仿宋_GB2312" w:cs="宋体"/>
          <w:color w:val="000000"/>
          <w:kern w:val="0"/>
          <w:sz w:val="32"/>
          <w:szCs w:val="32"/>
        </w:rPr>
        <w:t>。</w:t>
      </w:r>
    </w:p>
    <w:p>
      <w:pPr>
        <w:pStyle w:val="10"/>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二、部门整体预算支出情况</w:t>
      </w:r>
    </w:p>
    <w:p>
      <w:pPr>
        <w:pStyle w:val="10"/>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widowControl/>
        <w:shd w:val="clear" w:color="auto" w:fill="FFFFFF"/>
        <w:spacing w:line="540" w:lineRule="exact"/>
        <w:ind w:firstLine="641"/>
        <w:rPr>
          <w:rFonts w:ascii="仿宋_GB2312" w:eastAsia="仿宋_GB2312"/>
          <w:sz w:val="32"/>
          <w:szCs w:val="32"/>
        </w:rPr>
      </w:pPr>
      <w:r>
        <w:rPr>
          <w:rFonts w:hint="eastAsia" w:ascii="仿宋_GB2312" w:hAnsi="宋体" w:eastAsia="仿宋_GB2312" w:cs="Calibri"/>
          <w:color w:val="000000"/>
          <w:kern w:val="0"/>
          <w:sz w:val="32"/>
          <w:szCs w:val="32"/>
        </w:rPr>
        <w:t>2020</w:t>
      </w:r>
      <w:r>
        <w:rPr>
          <w:rFonts w:hint="eastAsia" w:ascii="仿宋_GB2312" w:hAnsi="宋体" w:eastAsia="仿宋_GB2312" w:cs="宋体"/>
          <w:color w:val="000000"/>
          <w:kern w:val="0"/>
          <w:sz w:val="32"/>
          <w:szCs w:val="32"/>
        </w:rPr>
        <w:t>年基本支出决算数为469.27 万元，是保障单位机构运转、完成日常工作任务而发生的各项支出，包括基本工资、津贴补贴等人员经费以及办公费、印刷费、公务接待费等日常公用经费。</w:t>
      </w:r>
    </w:p>
    <w:p>
      <w:pPr>
        <w:ind w:firstLine="640" w:firstLineChars="200"/>
        <w:rPr>
          <w:rFonts w:eastAsia="仿宋_GB2312"/>
          <w:sz w:val="32"/>
          <w:szCs w:val="32"/>
        </w:rPr>
      </w:pPr>
      <w:r>
        <w:rPr>
          <w:rFonts w:hint="eastAsia" w:ascii="仿宋_GB2312" w:hAnsi="宋体" w:eastAsia="仿宋_GB2312" w:cs="宋体"/>
          <w:color w:val="000000"/>
          <w:kern w:val="0"/>
          <w:sz w:val="32"/>
          <w:szCs w:val="32"/>
        </w:rPr>
        <w:t>“三公”经费2020年预算数为0.5万元，2020年决算数为0.10万元。</w:t>
      </w:r>
    </w:p>
    <w:p>
      <w:pPr>
        <w:pStyle w:val="10"/>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ind w:firstLine="640" w:firstLineChars="200"/>
        <w:rPr>
          <w:rFonts w:eastAsia="仿宋_GB2312"/>
          <w:sz w:val="32"/>
          <w:szCs w:val="32"/>
        </w:rPr>
      </w:pPr>
      <w:r>
        <w:rPr>
          <w:rFonts w:hint="eastAsia" w:ascii="仿宋_GB2312" w:hAnsi="宋体" w:eastAsia="仿宋_GB2312" w:cs="Calibri"/>
          <w:color w:val="000000"/>
          <w:kern w:val="0"/>
          <w:sz w:val="32"/>
          <w:szCs w:val="32"/>
        </w:rPr>
        <w:t>2020</w:t>
      </w:r>
      <w:r>
        <w:rPr>
          <w:rFonts w:hint="eastAsia" w:ascii="仿宋_GB2312" w:hAnsi="宋体" w:eastAsia="仿宋_GB2312" w:cs="宋体"/>
          <w:color w:val="000000"/>
          <w:kern w:val="0"/>
          <w:sz w:val="32"/>
          <w:szCs w:val="32"/>
        </w:rPr>
        <w:t>年决算数为202.29万元，包括各党派工作经费、春节走访慰问工作经费、银侨之家工作经费、侨务、侨联、侨商工作经费、政党协商运行经费、“同心创建”工作经费、营商环境特约监督团工作经费等项目经费。具体情况为：各党派工作经费</w:t>
      </w:r>
      <w:r>
        <w:rPr>
          <w:rFonts w:hint="eastAsia" w:ascii="仿宋_GB2312" w:hAnsi="宋体" w:eastAsia="仿宋_GB2312" w:cs="Calibri"/>
          <w:color w:val="000000"/>
          <w:kern w:val="0"/>
          <w:sz w:val="32"/>
          <w:szCs w:val="32"/>
        </w:rPr>
        <w:t>80</w:t>
      </w:r>
      <w:r>
        <w:rPr>
          <w:rFonts w:hint="eastAsia" w:ascii="仿宋_GB2312" w:hAnsi="宋体" w:eastAsia="仿宋_GB2312" w:cs="宋体"/>
          <w:color w:val="000000"/>
          <w:kern w:val="0"/>
          <w:sz w:val="32"/>
          <w:szCs w:val="32"/>
        </w:rPr>
        <w:t>万元，专项用于各党派工委组织七个及党外人士知识分子联谊会一个、台办及黄埔同学会、新社会阶层和社区统战工作经费；春节走访慰问工作经费9.02万元，通过走访慰问将党委、政府的关心和温暖送到全区统战代表人士和特困对象身边，由统战部机关、台办、侨联和民宗外事侨务局分业务线走访区内各民主党派、无党派人士，归侨侨眷、少数民族同胞，走访黄埔同学会成员、原国民党起义投诚人员和抗战老兵及元老后代；银侨之家工作经费及老年归侨生活费6万元；侨务、侨商工作经费4万元；政党协商工作经费12.90万元； “同心创建”工作和社会组织统战工作经费14.40万元；营商环境特约监督团工作经费4.45万元；党外人士服务中心工作经费8.4万元；信息化工作经费2.12万元；市拨同心创建工作经费55万；市拨对外交流及基地建设6万元。</w:t>
      </w:r>
      <w:r>
        <w:rPr>
          <w:rFonts w:hint="eastAsia" w:ascii="仿宋_GB2312" w:hAnsi="宋体" w:eastAsia="仿宋_GB2312" w:cs="宋体"/>
          <w:sz w:val="32"/>
          <w:szCs w:val="32"/>
        </w:rPr>
        <w:t xml:space="preserve"> </w:t>
      </w:r>
    </w:p>
    <w:p>
      <w:pPr>
        <w:widowControl/>
        <w:spacing w:line="520" w:lineRule="exact"/>
        <w:ind w:firstLine="645"/>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三、部门整体支出绩效情况</w:t>
      </w:r>
    </w:p>
    <w:p>
      <w:pPr>
        <w:spacing w:line="540" w:lineRule="exact"/>
        <w:ind w:firstLine="750"/>
        <w:rPr>
          <w:rFonts w:ascii="仿宋_GB2312" w:eastAsia="仿宋_GB2312"/>
          <w:sz w:val="30"/>
          <w:szCs w:val="30"/>
        </w:rPr>
      </w:pPr>
      <w:r>
        <w:rPr>
          <w:rFonts w:hint="eastAsia" w:ascii="仿宋_GB2312" w:hAnsi="宋体" w:eastAsia="仿宋_GB2312" w:cs="宋体"/>
          <w:sz w:val="32"/>
          <w:szCs w:val="32"/>
        </w:rPr>
        <w:t>根据《财政部关于印发〈财政支出绩效评价管理暂行办法〉的通知》（财预[2011]285号）、《长沙市财政公共项目支出绩效评价实施细则》（长政发[2009]43号）和《关于推进雨花区预算绩效管理的意见》（雨政办发[2013]28号）等有关规定要求，我们在雨花区财政局绩效评价科的指导下，结合部门整体支出特点，经评价审定，该项得分为92.5分，绩效评价结果等次为“优”。</w:t>
      </w:r>
    </w:p>
    <w:p>
      <w:pPr>
        <w:pStyle w:val="10"/>
        <w:widowControl/>
        <w:spacing w:line="520" w:lineRule="exact"/>
        <w:ind w:left="640" w:firstLine="0" w:firstLineChars="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四、存在的问题及原因分析</w:t>
      </w:r>
    </w:p>
    <w:p>
      <w:pPr>
        <w:widowControl/>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专项工作经费预算没有量化和细化到具体工作目标中。</w:t>
      </w:r>
    </w:p>
    <w:p>
      <w:pPr>
        <w:widowControl/>
        <w:spacing w:line="52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五、下一步改进措施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1、严格按照国家有关专项资金的财经管理要求，分专项设置明细帐，规范会计核算。</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2、明确各项目的年度具体工作目标，制定专项工作经费与年度工作目标相挂钩的管理机制，并严格执行。</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六、绩效自评结果拟应用和公开情况</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按财政相关要求及时公开。</w:t>
      </w: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p>
      <w:pPr>
        <w:spacing w:line="520" w:lineRule="exact"/>
        <w:ind w:firstLine="643" w:firstLineChars="200"/>
        <w:rPr>
          <w:rFonts w:ascii="仿宋_GB2312" w:hAnsi="仿宋_GB2312" w:eastAsia="仿宋_GB2312" w:cs="仿宋_GB2312"/>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05E2A"/>
    <w:multiLevelType w:val="multilevel"/>
    <w:tmpl w:val="04305E2A"/>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090C3A"/>
    <w:rsid w:val="000B0451"/>
    <w:rsid w:val="000D5FB2"/>
    <w:rsid w:val="000F397E"/>
    <w:rsid w:val="000F789B"/>
    <w:rsid w:val="001641DE"/>
    <w:rsid w:val="001977DF"/>
    <w:rsid w:val="001E1E3B"/>
    <w:rsid w:val="001E6BAB"/>
    <w:rsid w:val="00207CAC"/>
    <w:rsid w:val="0024189C"/>
    <w:rsid w:val="002B73D1"/>
    <w:rsid w:val="002F33AC"/>
    <w:rsid w:val="00304FE4"/>
    <w:rsid w:val="00393D17"/>
    <w:rsid w:val="003B0D62"/>
    <w:rsid w:val="003C562B"/>
    <w:rsid w:val="00462786"/>
    <w:rsid w:val="004805D7"/>
    <w:rsid w:val="00481BC7"/>
    <w:rsid w:val="005628F6"/>
    <w:rsid w:val="00616954"/>
    <w:rsid w:val="006C14AC"/>
    <w:rsid w:val="006D141B"/>
    <w:rsid w:val="0070294B"/>
    <w:rsid w:val="007059E1"/>
    <w:rsid w:val="0071322D"/>
    <w:rsid w:val="00751C2F"/>
    <w:rsid w:val="007D057D"/>
    <w:rsid w:val="007E371A"/>
    <w:rsid w:val="007E5BDA"/>
    <w:rsid w:val="008150FD"/>
    <w:rsid w:val="0083045C"/>
    <w:rsid w:val="008B30D8"/>
    <w:rsid w:val="0091743E"/>
    <w:rsid w:val="00961B1C"/>
    <w:rsid w:val="00965A1A"/>
    <w:rsid w:val="009B52D6"/>
    <w:rsid w:val="00A30E70"/>
    <w:rsid w:val="00A80DCA"/>
    <w:rsid w:val="00B916B3"/>
    <w:rsid w:val="00BF5EAF"/>
    <w:rsid w:val="00C00B99"/>
    <w:rsid w:val="00C22ABB"/>
    <w:rsid w:val="00C2779A"/>
    <w:rsid w:val="00C55160"/>
    <w:rsid w:val="00CA0321"/>
    <w:rsid w:val="00CB0A36"/>
    <w:rsid w:val="00CB75D2"/>
    <w:rsid w:val="00CF2501"/>
    <w:rsid w:val="00CF4395"/>
    <w:rsid w:val="00D13A08"/>
    <w:rsid w:val="00E868FC"/>
    <w:rsid w:val="00EA1EB2"/>
    <w:rsid w:val="00FC1751"/>
    <w:rsid w:val="0E214EC1"/>
    <w:rsid w:val="10805243"/>
    <w:rsid w:val="144439AD"/>
    <w:rsid w:val="2C7F752B"/>
    <w:rsid w:val="2F7D712F"/>
    <w:rsid w:val="4ABA2B6C"/>
    <w:rsid w:val="5F77471D"/>
    <w:rsid w:val="6094253D"/>
    <w:rsid w:val="64DD09ED"/>
    <w:rsid w:val="6D1D02EE"/>
    <w:rsid w:val="6E947AA8"/>
    <w:rsid w:val="79781D3D"/>
    <w:rsid w:val="7BD954E4"/>
    <w:rsid w:val="7C3127DF"/>
    <w:rsid w:val="7F92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 w:type="paragraph" w:styleId="10">
    <w:name w:val="List Paragraph"/>
    <w:basedOn w:val="1"/>
    <w:qFormat/>
    <w:uiPriority w:val="99"/>
    <w:pPr>
      <w:ind w:firstLine="420" w:firstLineChars="200"/>
    </w:pPr>
    <w:rPr>
      <w:rFonts w:ascii="Calibri" w:hAnsi="Calibri"/>
      <w:szCs w:val="22"/>
    </w:rPr>
  </w:style>
  <w:style w:type="character" w:customStyle="1" w:styleId="11">
    <w:name w:val="页眉 Char"/>
    <w:basedOn w:val="5"/>
    <w:link w:val="3"/>
    <w:uiPriority w:val="0"/>
    <w:rPr>
      <w:kern w:val="2"/>
      <w:sz w:val="18"/>
      <w:szCs w:val="18"/>
    </w:rPr>
  </w:style>
  <w:style w:type="paragraph" w:customStyle="1" w:styleId="12">
    <w:name w:val="cjk"/>
    <w:basedOn w:val="1"/>
    <w:uiPriority w:val="0"/>
    <w:pPr>
      <w:widowControl/>
      <w:spacing w:before="100" w:beforeAutospacing="1" w:after="142" w:line="276" w:lineRule="auto"/>
    </w:pPr>
    <w:rPr>
      <w:rFonts w:ascii="宋体" w:hAnsi="宋体" w:cs="宋体"/>
      <w:color w:val="000000"/>
      <w:kern w:val="0"/>
      <w:sz w:val="20"/>
      <w:szCs w:val="20"/>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17C10-5927-4CAB-9292-4C37CC2D433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926</Words>
  <Characters>5283</Characters>
  <Lines>44</Lines>
  <Paragraphs>12</Paragraphs>
  <TotalTime>3</TotalTime>
  <ScaleCrop>false</ScaleCrop>
  <LinksUpToDate>false</LinksUpToDate>
  <CharactersWithSpaces>6197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2021-09-26T07:34:00Z</dcterms:created>
  <dc:creator>hom</dc:creator>
  <cp:lastModifiedBy>Administrator</cp:lastModifiedBy>
  <cp:lastPrinted>2021-03-09T01:39:00Z</cp:lastPrinted>
  <dcterms:modified xsi:type="dcterms:W3CDTF">2023-11-20T02:50:03Z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3FF1FE5D439448FBB0821E626E1481C6_13</vt:lpwstr>
  </property>
</Properties>
</file>