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方正小标宋简体"/>
          <w:bCs/>
          <w:sz w:val="44"/>
          <w:szCs w:val="44"/>
        </w:rPr>
      </w:pPr>
    </w:p>
    <w:p>
      <w:pPr>
        <w:spacing w:line="520" w:lineRule="exact"/>
        <w:rPr>
          <w:rFonts w:eastAsia="方正小标宋简体"/>
          <w:bCs/>
          <w:sz w:val="44"/>
          <w:szCs w:val="44"/>
        </w:rPr>
      </w:pPr>
    </w:p>
    <w:p>
      <w:pPr>
        <w:spacing w:line="600" w:lineRule="exact"/>
        <w:rPr>
          <w:rFonts w:eastAsia="黑体"/>
          <w:kern w:val="0"/>
          <w:sz w:val="32"/>
          <w:szCs w:val="32"/>
        </w:rPr>
      </w:pPr>
      <w:r>
        <w:rPr>
          <w:rFonts w:eastAsia="黑体"/>
          <w:sz w:val="32"/>
          <w:szCs w:val="32"/>
        </w:rPr>
        <w:t>附件</w:t>
      </w:r>
      <w:r>
        <w:rPr>
          <w:rFonts w:hint="eastAsia" w:eastAsia="黑体"/>
          <w:sz w:val="32"/>
          <w:szCs w:val="32"/>
        </w:rPr>
        <w:t>1</w:t>
      </w:r>
    </w:p>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r>
        <w:rPr>
          <w:rFonts w:hint="eastAsia" w:eastAsia="楷体_GB2312"/>
          <w:b/>
          <w:bCs/>
          <w:kern w:val="0"/>
          <w:sz w:val="24"/>
        </w:rPr>
        <w:t>雨花区委党校</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15</w:t>
            </w:r>
            <w:r>
              <w:rPr>
                <w:kern w:val="0"/>
                <w:sz w:val="20"/>
                <w:szCs w:val="20"/>
              </w:rPr>
              <w:t>　</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12</w:t>
            </w:r>
            <w:r>
              <w:rPr>
                <w:kern w:val="0"/>
                <w:sz w:val="20"/>
                <w:szCs w:val="20"/>
              </w:rPr>
              <w:t>　</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rFonts w:hint="eastAsia"/>
                <w:kern w:val="0"/>
                <w:sz w:val="20"/>
                <w:szCs w:val="20"/>
              </w:rPr>
              <w:t>100%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2019年决算数</w:t>
            </w:r>
            <w:r>
              <w:rPr>
                <w:rFonts w:hint="eastAsia" w:eastAsia="黑体"/>
                <w:kern w:val="0"/>
                <w:sz w:val="20"/>
                <w:szCs w:val="20"/>
              </w:rPr>
              <w:t>（万元））</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2020年预算数</w:t>
            </w:r>
            <w:r>
              <w:rPr>
                <w:rFonts w:hint="eastAsia" w:eastAsia="黑体"/>
                <w:kern w:val="0"/>
                <w:sz w:val="20"/>
                <w:szCs w:val="20"/>
              </w:rPr>
              <w:t>（万元））</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2020年决算数</w:t>
            </w:r>
            <w:r>
              <w:rPr>
                <w:rFonts w:hint="eastAsia" w:eastAsia="黑体"/>
                <w:kern w:val="0"/>
                <w:sz w:val="20"/>
                <w:szCs w:val="20"/>
              </w:rPr>
              <w:t>（万元））</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0.3</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tcPr>
          <w:p>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tcPr>
          <w:p>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tcPr>
          <w:p>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tcPr>
          <w:p>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tcPr>
          <w:p>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472.45</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185</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tcPr>
          <w:p>
            <w:r>
              <w:rPr>
                <w:rFonts w:hint="eastAsia"/>
                <w:kern w:val="0"/>
                <w:sz w:val="20"/>
                <w:szCs w:val="20"/>
              </w:rPr>
              <w:t>85.24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440.08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150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tcPr>
          <w:p>
            <w:r>
              <w:rPr>
                <w:rFonts w:hint="eastAsia"/>
                <w:kern w:val="0"/>
                <w:sz w:val="20"/>
                <w:szCs w:val="20"/>
              </w:rPr>
              <w:t>55.9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32.37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35</w:t>
            </w:r>
          </w:p>
        </w:tc>
        <w:tc>
          <w:tcPr>
            <w:tcW w:w="1927" w:type="dxa"/>
            <w:gridSpan w:val="2"/>
            <w:tcBorders>
              <w:top w:val="single" w:color="auto" w:sz="4" w:space="0"/>
              <w:left w:val="nil"/>
              <w:bottom w:val="single" w:color="auto" w:sz="4" w:space="0"/>
              <w:right w:val="single" w:color="000000" w:sz="4" w:space="0"/>
            </w:tcBorders>
          </w:tcPr>
          <w:p>
            <w:r>
              <w:rPr>
                <w:rFonts w:hint="eastAsia"/>
                <w:kern w:val="0"/>
                <w:sz w:val="20"/>
                <w:szCs w:val="20"/>
              </w:rPr>
              <w:t>29.34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37.9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41.41</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39.15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16.19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rFonts w:hint="eastAsia"/>
                <w:color w:val="FF0000"/>
                <w:kern w:val="0"/>
                <w:sz w:val="20"/>
                <w:szCs w:val="20"/>
              </w:rPr>
              <w:t>19</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rFonts w:hint="eastAsia"/>
                <w:color w:val="FF0000"/>
                <w:kern w:val="0"/>
                <w:sz w:val="20"/>
                <w:szCs w:val="20"/>
              </w:rPr>
              <w:t>17.75</w:t>
            </w:r>
            <w:r>
              <w:rPr>
                <w:color w:val="FF000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rFonts w:hint="eastAsia"/>
                <w:color w:val="FF0000"/>
                <w:kern w:val="0"/>
                <w:sz w:val="20"/>
                <w:szCs w:val="20"/>
              </w:rPr>
              <w:t>0</w:t>
            </w:r>
            <w:r>
              <w:rPr>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rFonts w:hint="eastAsia"/>
                <w:color w:val="FF0000"/>
                <w:kern w:val="0"/>
                <w:sz w:val="20"/>
                <w:szCs w:val="20"/>
              </w:rPr>
              <w:t>0</w:t>
            </w:r>
            <w:r>
              <w:rPr>
                <w:color w:val="FF000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rFonts w:hint="eastAsia"/>
                <w:color w:val="FF0000"/>
                <w:kern w:val="0"/>
                <w:sz w:val="20"/>
                <w:szCs w:val="20"/>
              </w:rPr>
              <w:t>0.2</w:t>
            </w:r>
            <w:r>
              <w:rPr>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rFonts w:hint="eastAsia"/>
                <w:color w:val="FF0000"/>
                <w:kern w:val="0"/>
                <w:sz w:val="20"/>
                <w:szCs w:val="20"/>
              </w:rPr>
              <w:t>0</w:t>
            </w:r>
            <w:r>
              <w:rPr>
                <w:color w:val="FF0000"/>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698.78</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601.41</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eastAsia="宋体"/>
                <w:kern w:val="0"/>
                <w:sz w:val="20"/>
                <w:szCs w:val="20"/>
                <w:lang w:eastAsia="zh-CN"/>
              </w:rPr>
            </w:pPr>
            <w:r>
              <w:rPr>
                <w:kern w:val="0"/>
                <w:sz w:val="20"/>
                <w:szCs w:val="20"/>
              </w:rPr>
              <w:t>楼堂馆所控制情况</w:t>
            </w:r>
          </w:p>
          <w:p>
            <w:pPr>
              <w:widowControl/>
              <w:jc w:val="center"/>
              <w:rPr>
                <w:kern w:val="0"/>
                <w:sz w:val="20"/>
                <w:szCs w:val="20"/>
              </w:rPr>
            </w:pPr>
            <w:r>
              <w:rPr>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jc w:val="center"/>
              <w:rPr>
                <w:rFonts w:hint="eastAsia" w:eastAsia="宋体"/>
                <w:kern w:val="0"/>
                <w:sz w:val="20"/>
                <w:szCs w:val="20"/>
                <w:lang w:eastAsia="zh-CN"/>
              </w:rPr>
            </w:pPr>
            <w:r>
              <w:rPr>
                <w:kern w:val="0"/>
                <w:sz w:val="20"/>
                <w:szCs w:val="20"/>
              </w:rPr>
              <w:t>批复规模</w:t>
            </w:r>
          </w:p>
          <w:p>
            <w:pPr>
              <w:widowControl/>
              <w:jc w:val="center"/>
              <w:rPr>
                <w:kern w:val="0"/>
                <w:sz w:val="20"/>
                <w:szCs w:val="20"/>
              </w:rPr>
            </w:pPr>
            <w:r>
              <w:rPr>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rFonts w:hint="eastAsia" w:eastAsia="宋体"/>
                <w:kern w:val="0"/>
                <w:sz w:val="20"/>
                <w:szCs w:val="20"/>
                <w:lang w:eastAsia="zh-CN"/>
              </w:rPr>
            </w:pPr>
            <w:r>
              <w:rPr>
                <w:kern w:val="0"/>
                <w:sz w:val="20"/>
                <w:szCs w:val="20"/>
              </w:rPr>
              <w:t>规模</w:t>
            </w:r>
          </w:p>
          <w:p>
            <w:pPr>
              <w:widowControl/>
              <w:jc w:val="center"/>
              <w:rPr>
                <w:kern w:val="0"/>
                <w:sz w:val="20"/>
                <w:szCs w:val="20"/>
              </w:rPr>
            </w:pPr>
            <w:r>
              <w:rPr>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rFonts w:hint="eastAsia" w:eastAsia="宋体"/>
                <w:kern w:val="0"/>
                <w:sz w:val="20"/>
                <w:szCs w:val="20"/>
                <w:lang w:eastAsia="zh-CN"/>
              </w:rPr>
            </w:pPr>
            <w:r>
              <w:rPr>
                <w:kern w:val="0"/>
                <w:sz w:val="20"/>
                <w:szCs w:val="20"/>
              </w:rPr>
              <w:t>预算投资</w:t>
            </w:r>
          </w:p>
          <w:p>
            <w:pPr>
              <w:widowControl/>
              <w:jc w:val="center"/>
              <w:rPr>
                <w:kern w:val="0"/>
                <w:sz w:val="20"/>
                <w:szCs w:val="20"/>
              </w:rPr>
            </w:pPr>
            <w:r>
              <w:rPr>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rFonts w:hint="eastAsia" w:eastAsia="宋体"/>
                <w:kern w:val="0"/>
                <w:sz w:val="20"/>
                <w:szCs w:val="20"/>
                <w:lang w:eastAsia="zh-CN"/>
              </w:rPr>
            </w:pPr>
            <w:r>
              <w:rPr>
                <w:kern w:val="0"/>
                <w:sz w:val="20"/>
                <w:szCs w:val="20"/>
              </w:rPr>
              <w:t>投资</w:t>
            </w:r>
          </w:p>
          <w:p>
            <w:pPr>
              <w:widowControl/>
              <w:jc w:val="center"/>
              <w:rPr>
                <w:kern w:val="0"/>
                <w:sz w:val="20"/>
                <w:szCs w:val="20"/>
              </w:rPr>
            </w:pPr>
            <w:r>
              <w:rPr>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805"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1296"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108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94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97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bl>
    <w:p>
      <w:pPr>
        <w:spacing w:beforeLines="50"/>
        <w:ind w:left="720" w:hanging="720" w:hangingChars="30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r>
        <w:rPr>
          <w:rFonts w:eastAsia="楷体_GB2312"/>
          <w:sz w:val="24"/>
        </w:rPr>
        <w:t xml:space="preserve"> </w:t>
      </w: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hint="eastAsia" w:eastAsia="黑体"/>
          <w:kern w:val="0"/>
          <w:sz w:val="32"/>
          <w:szCs w:val="32"/>
        </w:rPr>
      </w:pPr>
    </w:p>
    <w:p>
      <w:pPr>
        <w:spacing w:line="600" w:lineRule="exact"/>
        <w:rPr>
          <w:rFonts w:eastAsia="方正小标宋_GBK"/>
          <w:kern w:val="0"/>
          <w:sz w:val="36"/>
          <w:szCs w:val="36"/>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4"/>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hint="eastAsia" w:eastAsia="黑体"/>
                <w:color w:val="000000"/>
                <w:kern w:val="0"/>
                <w:sz w:val="20"/>
                <w:szCs w:val="20"/>
                <w:lang w:eastAsia="zh-CN"/>
              </w:rPr>
            </w:pPr>
            <w:r>
              <w:rPr>
                <w:rFonts w:eastAsia="黑体"/>
                <w:color w:val="000000"/>
                <w:kern w:val="0"/>
                <w:sz w:val="20"/>
                <w:szCs w:val="20"/>
              </w:rPr>
              <w:t>一级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hint="eastAsia" w:eastAsia="黑体"/>
                <w:color w:val="000000"/>
                <w:kern w:val="0"/>
                <w:sz w:val="20"/>
                <w:szCs w:val="20"/>
                <w:lang w:eastAsia="zh-CN"/>
              </w:rPr>
            </w:pPr>
            <w:r>
              <w:rPr>
                <w:rFonts w:eastAsia="黑体"/>
                <w:color w:val="000000"/>
                <w:kern w:val="0"/>
                <w:sz w:val="20"/>
                <w:szCs w:val="20"/>
              </w:rPr>
              <w:t>二级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投入</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目标</w:t>
            </w:r>
          </w:p>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设定</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w:t>
            </w:r>
            <w:r>
              <w:rPr>
                <w:rStyle w:val="7"/>
                <w:sz w:val="20"/>
                <w:szCs w:val="20"/>
              </w:rPr>
              <w:t>6</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绩效目标</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①是否符合国家法律法规、国民经济和社会发展总体规划；</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②是否符合部门</w:t>
            </w:r>
            <w:r>
              <w:rPr>
                <w:rStyle w:val="7"/>
                <w:sz w:val="20"/>
                <w:szCs w:val="20"/>
              </w:rPr>
              <w:t>“</w:t>
            </w:r>
            <w:r>
              <w:rPr>
                <w:rStyle w:val="6"/>
                <w:rFonts w:hint="default" w:ascii="Times New Roman" w:hAnsi="Times New Roman" w:cs="Times New Roman"/>
                <w:sz w:val="20"/>
                <w:szCs w:val="20"/>
              </w:rPr>
              <w:t>三定</w:t>
            </w:r>
            <w:r>
              <w:rPr>
                <w:rStyle w:val="7"/>
                <w:sz w:val="20"/>
                <w:szCs w:val="20"/>
              </w:rPr>
              <w:t>”</w:t>
            </w:r>
            <w:r>
              <w:rPr>
                <w:rStyle w:val="6"/>
                <w:rFonts w:hint="default" w:ascii="Times New Roman" w:hAnsi="Times New Roman" w:cs="Times New Roman"/>
                <w:sz w:val="20"/>
                <w:szCs w:val="20"/>
              </w:rPr>
              <w:t>方案确定的职责；</w:t>
            </w:r>
          </w:p>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①符合国家相关法律法规，本</w:t>
            </w:r>
            <w:r>
              <w:rPr>
                <w:rStyle w:val="6"/>
                <w:rFonts w:hint="default" w:cs="Times New Roman"/>
                <w:sz w:val="20"/>
                <w:szCs w:val="20"/>
              </w:rPr>
              <w:t>区</w:t>
            </w:r>
            <w:r>
              <w:rPr>
                <w:rStyle w:val="6"/>
                <w:rFonts w:hint="default" w:ascii="Times New Roman" w:hAnsi="Times New Roman" w:cs="Times New Roman"/>
                <w:sz w:val="20"/>
                <w:szCs w:val="20"/>
              </w:rPr>
              <w:t>国民经济和社会发展规划，计</w:t>
            </w:r>
            <w:r>
              <w:rPr>
                <w:rStyle w:val="7"/>
                <w:sz w:val="20"/>
                <w:szCs w:val="20"/>
              </w:rPr>
              <w:t>0.5</w:t>
            </w:r>
            <w:r>
              <w:rPr>
                <w:rStyle w:val="6"/>
                <w:rFonts w:hint="default" w:ascii="Times New Roman" w:hAnsi="Times New Roman" w:cs="Times New Roman"/>
                <w:sz w:val="20"/>
                <w:szCs w:val="20"/>
              </w:rPr>
              <w:t>分，否则不得分；</w:t>
            </w:r>
          </w:p>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②与部门（单位）职责密切相关，计</w:t>
            </w:r>
            <w:r>
              <w:rPr>
                <w:rStyle w:val="7"/>
                <w:sz w:val="20"/>
                <w:szCs w:val="20"/>
              </w:rPr>
              <w:t>0.5</w:t>
            </w:r>
            <w:r>
              <w:rPr>
                <w:rStyle w:val="6"/>
                <w:rFonts w:hint="default" w:ascii="Times New Roman" w:hAnsi="Times New Roman" w:cs="Times New Roman"/>
                <w:sz w:val="20"/>
                <w:szCs w:val="20"/>
              </w:rPr>
              <w:t>分，否则不得分；</w:t>
            </w:r>
          </w:p>
          <w:p>
            <w:pPr>
              <w:widowControl/>
              <w:spacing w:line="270" w:lineRule="exact"/>
              <w:textAlignment w:val="center"/>
              <w:rPr>
                <w:color w:val="000000"/>
                <w:sz w:val="20"/>
                <w:szCs w:val="20"/>
              </w:rPr>
            </w:pPr>
            <w:r>
              <w:rPr>
                <w:rStyle w:val="6"/>
                <w:rFonts w:hint="default" w:ascii="Times New Roman" w:hAnsi="Times New Roman" w:cs="Times New Roman"/>
                <w:sz w:val="20"/>
                <w:szCs w:val="20"/>
              </w:rPr>
              <w:t>③符合部门制定的发展实施规划，计</w:t>
            </w:r>
            <w:r>
              <w:rPr>
                <w:rStyle w:val="7"/>
                <w:sz w:val="20"/>
                <w:szCs w:val="20"/>
              </w:rPr>
              <w:t>1</w:t>
            </w:r>
            <w:r>
              <w:rPr>
                <w:rStyle w:val="6"/>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绩效指标</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①是否将部门整体的绩效目标细化分解为具体的工作任务；</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②是否通过清晰、可衡量的指标值予以体现。</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③是否与部门年度的任务数或计划数相对应；</w:t>
            </w:r>
          </w:p>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①有目标，计1分，否则不得分；</w:t>
            </w:r>
          </w:p>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②目标明确，细化量化良好，个性指标中量化指标超过</w:t>
            </w:r>
            <w:r>
              <w:rPr>
                <w:rStyle w:val="7"/>
                <w:sz w:val="20"/>
                <w:szCs w:val="20"/>
              </w:rPr>
              <w:t>3</w:t>
            </w:r>
            <w:r>
              <w:rPr>
                <w:rStyle w:val="6"/>
                <w:rFonts w:hint="default" w:ascii="Times New Roman" w:hAnsi="Times New Roman" w:cs="Times New Roman"/>
                <w:sz w:val="20"/>
                <w:szCs w:val="20"/>
              </w:rPr>
              <w:t>个，计1分，量化指标为</w:t>
            </w:r>
            <w:r>
              <w:rPr>
                <w:rStyle w:val="7"/>
                <w:sz w:val="20"/>
                <w:szCs w:val="20"/>
              </w:rPr>
              <w:t>2</w:t>
            </w:r>
            <w:r>
              <w:rPr>
                <w:rStyle w:val="6"/>
                <w:rFonts w:hint="default" w:ascii="Times New Roman" w:hAnsi="Times New Roman" w:cs="Times New Roman"/>
                <w:sz w:val="20"/>
                <w:szCs w:val="20"/>
              </w:rPr>
              <w:t>个，计</w:t>
            </w:r>
            <w:r>
              <w:rPr>
                <w:rStyle w:val="7"/>
                <w:sz w:val="20"/>
                <w:szCs w:val="20"/>
              </w:rPr>
              <w:t>0.5</w:t>
            </w:r>
            <w:r>
              <w:rPr>
                <w:rStyle w:val="6"/>
                <w:rFonts w:hint="default" w:ascii="Times New Roman" w:hAnsi="Times New Roman" w:cs="Times New Roman"/>
                <w:sz w:val="20"/>
                <w:szCs w:val="20"/>
              </w:rPr>
              <w:t>分，</w:t>
            </w:r>
            <w:r>
              <w:rPr>
                <w:rStyle w:val="7"/>
                <w:sz w:val="20"/>
                <w:szCs w:val="20"/>
              </w:rPr>
              <w:t>2</w:t>
            </w:r>
            <w:r>
              <w:rPr>
                <w:rStyle w:val="6"/>
                <w:rFonts w:hint="default" w:ascii="Times New Roman" w:hAnsi="Times New Roman" w:cs="Times New Roman"/>
                <w:sz w:val="20"/>
                <w:szCs w:val="20"/>
              </w:rPr>
              <w:t>个以下不得分；</w:t>
            </w:r>
          </w:p>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③与年度任务数或计划数相对应，计1分，低于</w:t>
            </w:r>
            <w:r>
              <w:rPr>
                <w:rStyle w:val="7"/>
                <w:sz w:val="20"/>
                <w:szCs w:val="20"/>
              </w:rPr>
              <w:t>2</w:t>
            </w:r>
            <w:r>
              <w:rPr>
                <w:rStyle w:val="6"/>
                <w:rFonts w:hint="default" w:ascii="Times New Roman" w:hAnsi="Times New Roman" w:cs="Times New Roman"/>
                <w:sz w:val="20"/>
                <w:szCs w:val="20"/>
              </w:rPr>
              <w:t>个，计0.5分，低于</w:t>
            </w:r>
            <w:r>
              <w:rPr>
                <w:rStyle w:val="7"/>
                <w:sz w:val="20"/>
                <w:szCs w:val="20"/>
              </w:rPr>
              <w:t>4</w:t>
            </w:r>
            <w:r>
              <w:rPr>
                <w:rStyle w:val="6"/>
                <w:rFonts w:hint="default" w:ascii="Times New Roman" w:hAnsi="Times New Roman" w:cs="Times New Roman"/>
                <w:sz w:val="20"/>
                <w:szCs w:val="20"/>
              </w:rPr>
              <w:t>个不得分；</w:t>
            </w:r>
          </w:p>
          <w:p>
            <w:pPr>
              <w:widowControl/>
              <w:spacing w:line="270" w:lineRule="exact"/>
              <w:textAlignment w:val="center"/>
              <w:rPr>
                <w:color w:val="000000"/>
                <w:sz w:val="20"/>
                <w:szCs w:val="20"/>
              </w:rPr>
            </w:pPr>
            <w:r>
              <w:rPr>
                <w:rStyle w:val="6"/>
                <w:rFonts w:hint="default" w:ascii="Times New Roman" w:hAnsi="Times New Roman" w:cs="Times New Roman"/>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w:t>
            </w:r>
          </w:p>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配置</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w:t>
            </w:r>
            <w:r>
              <w:rPr>
                <w:rStyle w:val="7"/>
                <w:sz w:val="20"/>
                <w:szCs w:val="20"/>
              </w:rPr>
              <w:t>4</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在职人员控制率</w:t>
            </w:r>
            <w:r>
              <w:rPr>
                <w:rStyle w:val="7"/>
                <w:sz w:val="20"/>
                <w:szCs w:val="20"/>
              </w:rPr>
              <w:t>=</w:t>
            </w:r>
            <w:r>
              <w:rPr>
                <w:rStyle w:val="6"/>
                <w:rFonts w:hint="default" w:ascii="Times New Roman" w:hAnsi="Times New Roman" w:cs="Times New Roman"/>
                <w:sz w:val="20"/>
                <w:szCs w:val="20"/>
              </w:rPr>
              <w:t>（在职人员数</w:t>
            </w:r>
            <w:r>
              <w:rPr>
                <w:rStyle w:val="7"/>
                <w:sz w:val="20"/>
                <w:szCs w:val="20"/>
              </w:rPr>
              <w:t>/</w:t>
            </w:r>
            <w:r>
              <w:rPr>
                <w:rStyle w:val="6"/>
                <w:rFonts w:hint="default" w:ascii="Times New Roman" w:hAnsi="Times New Roman" w:cs="Times New Roman"/>
                <w:sz w:val="20"/>
                <w:szCs w:val="20"/>
              </w:rPr>
              <w:t>编制数）</w:t>
            </w:r>
            <w:r>
              <w:rPr>
                <w:rStyle w:val="7"/>
                <w:sz w:val="20"/>
                <w:szCs w:val="20"/>
              </w:rPr>
              <w:t>×100%</w:t>
            </w:r>
            <w:r>
              <w:rPr>
                <w:rStyle w:val="6"/>
                <w:rFonts w:hint="default" w:ascii="Times New Roman" w:hAnsi="Times New Roman" w:cs="Times New Roman"/>
                <w:sz w:val="20"/>
                <w:szCs w:val="20"/>
              </w:rPr>
              <w:t>。</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聘用人员控制率≦人社和编办共同批复的人数；</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在职人员数：部门（单位）实际在职人数</w:t>
            </w:r>
            <w:r>
              <w:rPr>
                <w:rStyle w:val="7"/>
                <w:sz w:val="20"/>
                <w:szCs w:val="20"/>
              </w:rPr>
              <w:t>，</w:t>
            </w:r>
            <w:r>
              <w:rPr>
                <w:rStyle w:val="6"/>
                <w:rFonts w:hint="default" w:ascii="Times New Roman" w:hAnsi="Times New Roman" w:cs="Times New Roman"/>
                <w:sz w:val="20"/>
                <w:szCs w:val="20"/>
              </w:rPr>
              <w:t>以财政部门确定的部门决算编制口径为准。</w:t>
            </w:r>
          </w:p>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在职人员控制率≦</w:t>
            </w:r>
            <w:r>
              <w:rPr>
                <w:rStyle w:val="7"/>
                <w:sz w:val="20"/>
                <w:szCs w:val="20"/>
              </w:rPr>
              <w:t>100%</w:t>
            </w:r>
            <w:r>
              <w:rPr>
                <w:rStyle w:val="6"/>
                <w:rFonts w:hint="default" w:ascii="Times New Roman" w:hAnsi="Times New Roman" w:cs="Times New Roman"/>
                <w:sz w:val="20"/>
                <w:szCs w:val="20"/>
              </w:rPr>
              <w:t>计</w:t>
            </w:r>
            <w:r>
              <w:rPr>
                <w:rStyle w:val="7"/>
                <w:sz w:val="20"/>
                <w:szCs w:val="20"/>
              </w:rPr>
              <w:t>2</w:t>
            </w:r>
            <w:r>
              <w:rPr>
                <w:rStyle w:val="6"/>
                <w:rFonts w:hint="default" w:ascii="Times New Roman" w:hAnsi="Times New Roman" w:cs="Times New Roman"/>
                <w:sz w:val="20"/>
                <w:szCs w:val="20"/>
              </w:rPr>
              <w:t>分，每超出</w:t>
            </w:r>
            <w:r>
              <w:rPr>
                <w:rStyle w:val="7"/>
                <w:sz w:val="20"/>
                <w:szCs w:val="20"/>
              </w:rPr>
              <w:t>1%</w:t>
            </w:r>
            <w:r>
              <w:rPr>
                <w:rStyle w:val="6"/>
                <w:rFonts w:hint="default" w:ascii="Times New Roman" w:hAnsi="Times New Roman" w:cs="Times New Roman"/>
                <w:sz w:val="20"/>
                <w:szCs w:val="20"/>
              </w:rPr>
              <w:t>扣</w:t>
            </w:r>
            <w:r>
              <w:rPr>
                <w:rStyle w:val="7"/>
                <w:sz w:val="20"/>
                <w:szCs w:val="20"/>
              </w:rPr>
              <w:t>0.2</w:t>
            </w:r>
            <w:r>
              <w:rPr>
                <w:rStyle w:val="6"/>
                <w:rFonts w:hint="default" w:ascii="Times New Roman" w:hAnsi="Times New Roman" w:cs="Times New Roman"/>
                <w:sz w:val="20"/>
                <w:szCs w:val="20"/>
              </w:rPr>
              <w:t>分，扣完为止。</w:t>
            </w:r>
          </w:p>
          <w:p>
            <w:pPr>
              <w:widowControl/>
              <w:spacing w:line="270" w:lineRule="exact"/>
              <w:textAlignment w:val="center"/>
              <w:rPr>
                <w:color w:val="000000"/>
                <w:sz w:val="20"/>
                <w:szCs w:val="20"/>
              </w:rPr>
            </w:pPr>
            <w:r>
              <w:rPr>
                <w:rStyle w:val="8"/>
                <w:rFonts w:hint="default" w:ascii="Times New Roman" w:hAnsi="Times New Roman" w:cs="Times New Roman"/>
                <w:color w:val="auto"/>
                <w:sz w:val="20"/>
                <w:szCs w:val="20"/>
              </w:rPr>
              <w:t>聘用人员实际使用数小于等于编办人社部门批复数，计</w:t>
            </w:r>
            <w:r>
              <w:rPr>
                <w:rStyle w:val="9"/>
                <w:color w:val="auto"/>
                <w:sz w:val="20"/>
                <w:szCs w:val="20"/>
              </w:rPr>
              <w:t>2</w:t>
            </w:r>
            <w:r>
              <w:rPr>
                <w:rStyle w:val="8"/>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过程</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w:t>
            </w:r>
            <w:r>
              <w:rPr>
                <w:rStyle w:val="7"/>
                <w:sz w:val="20"/>
                <w:szCs w:val="20"/>
              </w:rPr>
              <w:t>40</w:t>
            </w:r>
            <w:r>
              <w:rPr>
                <w:rStyle w:val="6"/>
                <w:rFonts w:hint="default" w:ascii="Times New Roman" w:hAnsi="Times New Roman" w:cs="Times New Roman"/>
                <w:sz w:val="20"/>
                <w:szCs w:val="20"/>
              </w:rPr>
              <w:t>分）</w:t>
            </w:r>
          </w:p>
        </w:tc>
        <w:tc>
          <w:tcPr>
            <w:tcW w:w="373" w:type="pct"/>
            <w:tcMar>
              <w:top w:w="15" w:type="dxa"/>
              <w:left w:w="15" w:type="dxa"/>
              <w:right w:w="15" w:type="dxa"/>
            </w:tcMar>
            <w:vAlign w:val="center"/>
          </w:tcPr>
          <w:p>
            <w:pPr>
              <w:widowControl/>
              <w:spacing w:line="270" w:lineRule="exact"/>
              <w:jc w:val="center"/>
              <w:textAlignment w:val="center"/>
              <w:rPr>
                <w:rFonts w:hint="eastAsia" w:eastAsia="宋体"/>
                <w:color w:val="000000"/>
                <w:kern w:val="0"/>
                <w:sz w:val="20"/>
                <w:szCs w:val="20"/>
                <w:lang w:eastAsia="zh-CN"/>
              </w:rPr>
            </w:pPr>
            <w:r>
              <w:rPr>
                <w:color w:val="000000"/>
                <w:kern w:val="0"/>
                <w:sz w:val="20"/>
                <w:szCs w:val="20"/>
              </w:rPr>
              <w:t>预算</w:t>
            </w:r>
          </w:p>
          <w:p>
            <w:pPr>
              <w:widowControl/>
              <w:spacing w:line="270" w:lineRule="exact"/>
              <w:jc w:val="center"/>
              <w:textAlignment w:val="center"/>
              <w:rPr>
                <w:rFonts w:hint="eastAsia" w:eastAsia="宋体"/>
                <w:color w:val="000000"/>
                <w:kern w:val="0"/>
                <w:sz w:val="20"/>
                <w:szCs w:val="20"/>
                <w:lang w:eastAsia="zh-CN"/>
              </w:rPr>
            </w:pPr>
            <w:r>
              <w:rPr>
                <w:color w:val="000000"/>
                <w:kern w:val="0"/>
                <w:sz w:val="20"/>
                <w:szCs w:val="20"/>
              </w:rPr>
              <w:t>执行</w:t>
            </w:r>
          </w:p>
          <w:p>
            <w:pPr>
              <w:widowControl/>
              <w:spacing w:line="270" w:lineRule="exact"/>
              <w:jc w:val="center"/>
              <w:textAlignment w:val="center"/>
              <w:rPr>
                <w:color w:val="000000"/>
                <w:sz w:val="20"/>
                <w:szCs w:val="20"/>
              </w:rPr>
            </w:pP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①预算完成率</w:t>
            </w:r>
            <w:r>
              <w:rPr>
                <w:rStyle w:val="7"/>
                <w:sz w:val="20"/>
                <w:szCs w:val="20"/>
              </w:rPr>
              <w:t>=</w:t>
            </w:r>
            <w:r>
              <w:rPr>
                <w:rStyle w:val="6"/>
                <w:rFonts w:hint="default" w:ascii="Times New Roman" w:hAnsi="Times New Roman" w:cs="Times New Roman"/>
                <w:sz w:val="20"/>
                <w:szCs w:val="20"/>
              </w:rPr>
              <w:t>（预算完成数</w:t>
            </w:r>
            <w:r>
              <w:rPr>
                <w:rStyle w:val="7"/>
                <w:sz w:val="20"/>
                <w:szCs w:val="20"/>
              </w:rPr>
              <w:t>/</w:t>
            </w:r>
            <w:r>
              <w:rPr>
                <w:rStyle w:val="6"/>
                <w:rFonts w:hint="default" w:ascii="Times New Roman" w:hAnsi="Times New Roman" w:cs="Times New Roman"/>
                <w:sz w:val="20"/>
                <w:szCs w:val="20"/>
              </w:rPr>
              <w:t>预算数）</w:t>
            </w:r>
            <w:r>
              <w:rPr>
                <w:rStyle w:val="7"/>
                <w:sz w:val="20"/>
                <w:szCs w:val="20"/>
              </w:rPr>
              <w:t>×100%</w:t>
            </w:r>
            <w:r>
              <w:rPr>
                <w:rStyle w:val="6"/>
                <w:rFonts w:hint="default" w:ascii="Times New Roman" w:hAnsi="Times New Roman" w:cs="Times New Roman"/>
                <w:sz w:val="20"/>
                <w:szCs w:val="20"/>
              </w:rPr>
              <w:t>。</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预算完成数：部门（单位）本年度实际完成的预算数。</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预算数：财政部门批复的本年度部门（单位）预算数及追加的项目预算数。</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②支付序时进度</w:t>
            </w:r>
            <w:r>
              <w:rPr>
                <w:rStyle w:val="7"/>
                <w:sz w:val="20"/>
                <w:szCs w:val="20"/>
              </w:rPr>
              <w:t>=</w:t>
            </w:r>
            <w:r>
              <w:rPr>
                <w:rStyle w:val="6"/>
                <w:rFonts w:hint="default" w:ascii="Times New Roman" w:hAnsi="Times New Roman" w:cs="Times New Roman"/>
                <w:sz w:val="20"/>
                <w:szCs w:val="20"/>
              </w:rPr>
              <w:t>（序时执行数</w:t>
            </w:r>
            <w:r>
              <w:rPr>
                <w:rStyle w:val="7"/>
                <w:sz w:val="20"/>
                <w:szCs w:val="20"/>
              </w:rPr>
              <w:t>/</w:t>
            </w:r>
            <w:r>
              <w:rPr>
                <w:rStyle w:val="6"/>
                <w:rFonts w:hint="default" w:ascii="Times New Roman" w:hAnsi="Times New Roman" w:cs="Times New Roman"/>
                <w:sz w:val="20"/>
                <w:szCs w:val="20"/>
              </w:rPr>
              <w:t>序时指标下达数）</w:t>
            </w:r>
            <w:r>
              <w:rPr>
                <w:rStyle w:val="7"/>
                <w:sz w:val="20"/>
                <w:szCs w:val="20"/>
              </w:rPr>
              <w:t>×100%</w:t>
            </w:r>
            <w:r>
              <w:rPr>
                <w:rStyle w:val="6"/>
                <w:rFonts w:hint="default" w:ascii="Times New Roman" w:hAnsi="Times New Roman" w:cs="Times New Roman"/>
                <w:sz w:val="20"/>
                <w:szCs w:val="20"/>
              </w:rPr>
              <w:t>。</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p>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③部门预算项目支出调剂到</w:t>
            </w:r>
            <w:r>
              <w:rPr>
                <w:rStyle w:val="6"/>
                <w:rFonts w:hint="default" w:cs="Times New Roman"/>
                <w:sz w:val="20"/>
                <w:szCs w:val="20"/>
                <w:highlight w:val="red"/>
              </w:rPr>
              <w:t>单位</w:t>
            </w:r>
            <w:r>
              <w:rPr>
                <w:rStyle w:val="6"/>
                <w:rFonts w:hint="default" w:ascii="Times New Roman" w:hAnsi="Times New Roman" w:cs="Times New Roman"/>
                <w:sz w:val="20"/>
                <w:szCs w:val="20"/>
              </w:rPr>
              <w:t>。</w:t>
            </w:r>
          </w:p>
        </w:tc>
        <w:tc>
          <w:tcPr>
            <w:tcW w:w="1671" w:type="pct"/>
            <w:tcMar>
              <w:top w:w="15" w:type="dxa"/>
              <w:left w:w="15" w:type="dxa"/>
              <w:right w:w="15" w:type="dxa"/>
            </w:tcMar>
            <w:vAlign w:val="center"/>
          </w:tcPr>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①全年预算完成率</w:t>
            </w:r>
            <w:r>
              <w:rPr>
                <w:rStyle w:val="7"/>
                <w:sz w:val="20"/>
                <w:szCs w:val="20"/>
              </w:rPr>
              <w:t>95%</w:t>
            </w:r>
            <w:r>
              <w:rPr>
                <w:rStyle w:val="6"/>
                <w:rFonts w:hint="default" w:ascii="Times New Roman" w:hAnsi="Times New Roman" w:cs="Times New Roman"/>
                <w:sz w:val="20"/>
                <w:szCs w:val="20"/>
              </w:rPr>
              <w:t>以上计</w:t>
            </w:r>
            <w:r>
              <w:rPr>
                <w:rStyle w:val="7"/>
                <w:sz w:val="20"/>
                <w:szCs w:val="20"/>
              </w:rPr>
              <w:t>2</w:t>
            </w:r>
            <w:r>
              <w:rPr>
                <w:rStyle w:val="6"/>
                <w:rFonts w:hint="default" w:ascii="Times New Roman" w:hAnsi="Times New Roman" w:cs="Times New Roman"/>
                <w:sz w:val="20"/>
                <w:szCs w:val="20"/>
              </w:rPr>
              <w:t>分，</w:t>
            </w:r>
            <w:r>
              <w:rPr>
                <w:rStyle w:val="7"/>
                <w:sz w:val="20"/>
                <w:szCs w:val="20"/>
              </w:rPr>
              <w:t>95-90%</w:t>
            </w:r>
            <w:r>
              <w:rPr>
                <w:rStyle w:val="6"/>
                <w:rFonts w:hint="default" w:ascii="Times New Roman" w:hAnsi="Times New Roman" w:cs="Times New Roman"/>
                <w:sz w:val="20"/>
                <w:szCs w:val="20"/>
              </w:rPr>
              <w:t>（含），计</w:t>
            </w:r>
            <w:r>
              <w:rPr>
                <w:rStyle w:val="7"/>
                <w:sz w:val="20"/>
                <w:szCs w:val="20"/>
              </w:rPr>
              <w:t>1.5</w:t>
            </w:r>
            <w:r>
              <w:rPr>
                <w:rStyle w:val="6"/>
                <w:rFonts w:hint="default" w:ascii="Times New Roman" w:hAnsi="Times New Roman" w:cs="Times New Roman"/>
                <w:sz w:val="20"/>
                <w:szCs w:val="20"/>
              </w:rPr>
              <w:t>分，</w:t>
            </w:r>
            <w:r>
              <w:rPr>
                <w:rStyle w:val="7"/>
                <w:sz w:val="20"/>
                <w:szCs w:val="20"/>
              </w:rPr>
              <w:t>90-80%</w:t>
            </w:r>
            <w:r>
              <w:rPr>
                <w:rStyle w:val="6"/>
                <w:rFonts w:hint="default" w:ascii="Times New Roman" w:hAnsi="Times New Roman" w:cs="Times New Roman"/>
                <w:sz w:val="20"/>
                <w:szCs w:val="20"/>
              </w:rPr>
              <w:t>（含），计</w:t>
            </w:r>
            <w:r>
              <w:rPr>
                <w:rStyle w:val="7"/>
                <w:sz w:val="20"/>
                <w:szCs w:val="20"/>
              </w:rPr>
              <w:t>1</w:t>
            </w:r>
            <w:r>
              <w:rPr>
                <w:rStyle w:val="6"/>
                <w:rFonts w:hint="default" w:ascii="Times New Roman" w:hAnsi="Times New Roman" w:cs="Times New Roman"/>
                <w:sz w:val="20"/>
                <w:szCs w:val="20"/>
              </w:rPr>
              <w:t>分，小于</w:t>
            </w:r>
            <w:r>
              <w:rPr>
                <w:rStyle w:val="7"/>
                <w:sz w:val="20"/>
                <w:szCs w:val="20"/>
              </w:rPr>
              <w:t>80%</w:t>
            </w:r>
            <w:r>
              <w:rPr>
                <w:rStyle w:val="6"/>
                <w:rFonts w:hint="default" w:ascii="Times New Roman" w:hAnsi="Times New Roman" w:cs="Times New Roman"/>
                <w:sz w:val="20"/>
                <w:szCs w:val="20"/>
              </w:rPr>
              <w:t>不得分；</w:t>
            </w:r>
          </w:p>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②一、二、三季度末支付序时进度分别达到</w:t>
            </w:r>
            <w:r>
              <w:rPr>
                <w:rStyle w:val="7"/>
                <w:sz w:val="20"/>
                <w:szCs w:val="20"/>
              </w:rPr>
              <w:t>20%</w:t>
            </w:r>
            <w:r>
              <w:rPr>
                <w:rStyle w:val="6"/>
                <w:rFonts w:hint="default" w:ascii="Times New Roman" w:hAnsi="Times New Roman" w:cs="Times New Roman"/>
                <w:sz w:val="20"/>
                <w:szCs w:val="20"/>
              </w:rPr>
              <w:t>、</w:t>
            </w:r>
            <w:r>
              <w:rPr>
                <w:rStyle w:val="7"/>
                <w:sz w:val="20"/>
                <w:szCs w:val="20"/>
              </w:rPr>
              <w:t>50%</w:t>
            </w:r>
            <w:r>
              <w:rPr>
                <w:rStyle w:val="6"/>
                <w:rFonts w:hint="default" w:ascii="Times New Roman" w:hAnsi="Times New Roman" w:cs="Times New Roman"/>
                <w:sz w:val="20"/>
                <w:szCs w:val="20"/>
              </w:rPr>
              <w:t>、</w:t>
            </w:r>
            <w:r>
              <w:rPr>
                <w:rStyle w:val="7"/>
                <w:sz w:val="20"/>
                <w:szCs w:val="20"/>
              </w:rPr>
              <w:t>80%</w:t>
            </w:r>
            <w:r>
              <w:rPr>
                <w:rStyle w:val="6"/>
                <w:rFonts w:hint="default" w:ascii="Times New Roman" w:hAnsi="Times New Roman" w:cs="Times New Roman"/>
                <w:sz w:val="20"/>
                <w:szCs w:val="20"/>
              </w:rPr>
              <w:t>（含）以上计</w:t>
            </w:r>
            <w:r>
              <w:rPr>
                <w:rStyle w:val="7"/>
                <w:sz w:val="20"/>
                <w:szCs w:val="20"/>
              </w:rPr>
              <w:t>2</w:t>
            </w:r>
            <w:r>
              <w:rPr>
                <w:rStyle w:val="6"/>
                <w:rFonts w:hint="default" w:ascii="Times New Roman" w:hAnsi="Times New Roman" w:cs="Times New Roman"/>
                <w:sz w:val="20"/>
                <w:szCs w:val="20"/>
              </w:rPr>
              <w:t>分，每低</w:t>
            </w:r>
            <w:r>
              <w:rPr>
                <w:rStyle w:val="7"/>
                <w:sz w:val="20"/>
                <w:szCs w:val="20"/>
              </w:rPr>
              <w:t>1</w:t>
            </w:r>
            <w:r>
              <w:rPr>
                <w:rStyle w:val="6"/>
                <w:rFonts w:hint="default" w:ascii="Times New Roman" w:hAnsi="Times New Roman" w:cs="Times New Roman"/>
                <w:sz w:val="20"/>
                <w:szCs w:val="20"/>
              </w:rPr>
              <w:t>个百分点扣</w:t>
            </w:r>
            <w:r>
              <w:rPr>
                <w:rStyle w:val="7"/>
                <w:sz w:val="20"/>
                <w:szCs w:val="20"/>
              </w:rPr>
              <w:t>0.2</w:t>
            </w:r>
            <w:r>
              <w:rPr>
                <w:rStyle w:val="6"/>
                <w:rFonts w:hint="default" w:ascii="Times New Roman" w:hAnsi="Times New Roman" w:cs="Times New Roman"/>
                <w:sz w:val="20"/>
                <w:szCs w:val="20"/>
              </w:rPr>
              <w:t>分，扣完为止。</w:t>
            </w:r>
          </w:p>
          <w:p>
            <w:pPr>
              <w:widowControl/>
              <w:spacing w:line="270" w:lineRule="exact"/>
              <w:textAlignment w:val="center"/>
              <w:rPr>
                <w:color w:val="000000"/>
                <w:sz w:val="20"/>
                <w:szCs w:val="20"/>
              </w:rPr>
            </w:pPr>
            <w:r>
              <w:rPr>
                <w:rStyle w:val="6"/>
                <w:rFonts w:hint="default" w:ascii="Times New Roman" w:hAnsi="Times New Roman" w:cs="Times New Roman"/>
                <w:sz w:val="20"/>
                <w:szCs w:val="20"/>
              </w:rPr>
              <w:t>③部门预算项目支出调剂到</w:t>
            </w:r>
            <w:r>
              <w:rPr>
                <w:rStyle w:val="6"/>
                <w:rFonts w:hint="default" w:cs="Times New Roman"/>
                <w:sz w:val="20"/>
                <w:szCs w:val="20"/>
                <w:highlight w:val="red"/>
              </w:rPr>
              <w:t>单位</w:t>
            </w:r>
            <w:r>
              <w:rPr>
                <w:rStyle w:val="6"/>
                <w:rFonts w:hint="default" w:ascii="Times New Roman" w:hAnsi="Times New Roman" w:cs="Times New Roman"/>
                <w:sz w:val="20"/>
                <w:szCs w:val="20"/>
              </w:rPr>
              <w:t>小于等于项目支出</w:t>
            </w:r>
            <w:r>
              <w:rPr>
                <w:rStyle w:val="7"/>
                <w:sz w:val="20"/>
                <w:szCs w:val="20"/>
              </w:rPr>
              <w:t>2%</w:t>
            </w:r>
            <w:r>
              <w:rPr>
                <w:rStyle w:val="6"/>
                <w:rFonts w:hint="default" w:ascii="Times New Roman" w:hAnsi="Times New Roman" w:cs="Times New Roman"/>
                <w:sz w:val="20"/>
                <w:szCs w:val="20"/>
              </w:rPr>
              <w:t>，计</w:t>
            </w:r>
            <w:r>
              <w:rPr>
                <w:rStyle w:val="7"/>
                <w:sz w:val="20"/>
                <w:szCs w:val="20"/>
              </w:rPr>
              <w:t>2</w:t>
            </w:r>
            <w:r>
              <w:rPr>
                <w:rStyle w:val="6"/>
                <w:rFonts w:hint="default" w:ascii="Times New Roman" w:hAnsi="Times New Roman" w:cs="Times New Roman"/>
                <w:sz w:val="20"/>
                <w:szCs w:val="20"/>
              </w:rPr>
              <w:t>分；大于</w:t>
            </w:r>
            <w:r>
              <w:rPr>
                <w:rStyle w:val="7"/>
                <w:sz w:val="20"/>
                <w:szCs w:val="20"/>
              </w:rPr>
              <w:t>2%</w:t>
            </w:r>
            <w:r>
              <w:rPr>
                <w:rStyle w:val="6"/>
                <w:rFonts w:hint="default" w:ascii="Times New Roman" w:hAnsi="Times New Roman" w:cs="Times New Roman"/>
                <w:sz w:val="20"/>
                <w:szCs w:val="20"/>
              </w:rPr>
              <w:t>，不计分；</w:t>
            </w:r>
          </w:p>
        </w:tc>
        <w:tc>
          <w:tcPr>
            <w:tcW w:w="477" w:type="pct"/>
            <w:tcMar>
              <w:top w:w="15" w:type="dxa"/>
              <w:left w:w="15" w:type="dxa"/>
              <w:right w:w="15" w:type="dxa"/>
            </w:tcMar>
            <w:vAlign w:val="center"/>
          </w:tcPr>
          <w:p>
            <w:pPr>
              <w:widowControl/>
              <w:spacing w:line="27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过程</w:t>
            </w:r>
          </w:p>
          <w:p>
            <w:pPr>
              <w:spacing w:line="260" w:lineRule="exact"/>
              <w:jc w:val="center"/>
              <w:rPr>
                <w:color w:val="000000"/>
                <w:sz w:val="20"/>
                <w:szCs w:val="20"/>
              </w:rPr>
            </w:pPr>
            <w:r>
              <w:rPr>
                <w:rStyle w:val="6"/>
                <w:rFonts w:hint="default" w:ascii="Times New Roman" w:hAnsi="Times New Roman" w:cs="Times New Roman"/>
                <w:sz w:val="20"/>
                <w:szCs w:val="20"/>
              </w:rPr>
              <w:t>（</w:t>
            </w:r>
            <w:r>
              <w:rPr>
                <w:rStyle w:val="7"/>
                <w:sz w:val="20"/>
                <w:szCs w:val="20"/>
              </w:rPr>
              <w:t>40</w:t>
            </w:r>
            <w:r>
              <w:rPr>
                <w:rStyle w:val="6"/>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rFonts w:hint="eastAsia" w:eastAsia="宋体"/>
                <w:color w:val="000000"/>
                <w:kern w:val="0"/>
                <w:sz w:val="20"/>
                <w:szCs w:val="20"/>
                <w:lang w:eastAsia="zh-CN"/>
              </w:rPr>
            </w:pPr>
            <w:r>
              <w:rPr>
                <w:color w:val="000000"/>
                <w:kern w:val="0"/>
                <w:sz w:val="20"/>
                <w:szCs w:val="20"/>
              </w:rPr>
              <w:t>预算</w:t>
            </w:r>
          </w:p>
          <w:p>
            <w:pPr>
              <w:widowControl/>
              <w:spacing w:line="260" w:lineRule="exact"/>
              <w:jc w:val="center"/>
              <w:textAlignment w:val="center"/>
              <w:rPr>
                <w:rFonts w:hint="eastAsia" w:eastAsia="宋体"/>
                <w:color w:val="000000"/>
                <w:kern w:val="0"/>
                <w:sz w:val="20"/>
                <w:szCs w:val="20"/>
                <w:lang w:eastAsia="zh-CN"/>
              </w:rPr>
            </w:pPr>
            <w:r>
              <w:rPr>
                <w:color w:val="000000"/>
                <w:kern w:val="0"/>
                <w:sz w:val="20"/>
                <w:szCs w:val="20"/>
              </w:rPr>
              <w:t>执行</w:t>
            </w:r>
          </w:p>
          <w:p>
            <w:pPr>
              <w:widowControl/>
              <w:spacing w:line="260" w:lineRule="exact"/>
              <w:jc w:val="center"/>
              <w:textAlignment w:val="center"/>
              <w:rPr>
                <w:color w:val="000000"/>
                <w:sz w:val="20"/>
                <w:szCs w:val="20"/>
              </w:rPr>
            </w:pP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预算调整率</w:t>
            </w:r>
            <w:r>
              <w:rPr>
                <w:rStyle w:val="7"/>
                <w:sz w:val="20"/>
                <w:szCs w:val="20"/>
              </w:rPr>
              <w:t>=</w:t>
            </w:r>
            <w:r>
              <w:rPr>
                <w:rStyle w:val="6"/>
                <w:rFonts w:hint="default" w:ascii="Times New Roman" w:hAnsi="Times New Roman" w:cs="Times New Roman"/>
                <w:sz w:val="20"/>
                <w:szCs w:val="20"/>
              </w:rPr>
              <w:t>（预算调整数</w:t>
            </w:r>
            <w:r>
              <w:rPr>
                <w:rStyle w:val="7"/>
                <w:sz w:val="20"/>
                <w:szCs w:val="20"/>
              </w:rPr>
              <w:t>/</w:t>
            </w:r>
            <w:r>
              <w:rPr>
                <w:rStyle w:val="6"/>
                <w:rFonts w:hint="default" w:ascii="Times New Roman" w:hAnsi="Times New Roman" w:cs="Times New Roman"/>
                <w:sz w:val="20"/>
                <w:szCs w:val="20"/>
              </w:rPr>
              <w:t>预算数）</w:t>
            </w:r>
            <w:r>
              <w:rPr>
                <w:rStyle w:val="7"/>
                <w:sz w:val="20"/>
                <w:szCs w:val="20"/>
              </w:rPr>
              <w:t>×100%</w:t>
            </w:r>
            <w:r>
              <w:rPr>
                <w:rStyle w:val="6"/>
                <w:rFonts w:hint="default" w:ascii="Times New Roman" w:hAnsi="Times New Roman" w:cs="Times New Roman"/>
                <w:sz w:val="20"/>
                <w:szCs w:val="20"/>
              </w:rPr>
              <w:t>。</w:t>
            </w:r>
          </w:p>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6"/>
                <w:rFonts w:hint="default" w:ascii="Times New Roman" w:hAnsi="Times New Roman" w:cs="Times New Roman"/>
                <w:sz w:val="20"/>
                <w:szCs w:val="20"/>
              </w:rPr>
              <w:t>预算调整率</w:t>
            </w:r>
            <w:r>
              <w:rPr>
                <w:rStyle w:val="7"/>
                <w:sz w:val="20"/>
                <w:szCs w:val="20"/>
              </w:rPr>
              <w:t>&lt;5%</w:t>
            </w:r>
            <w:r>
              <w:rPr>
                <w:rStyle w:val="6"/>
                <w:rFonts w:hint="default" w:ascii="Times New Roman" w:hAnsi="Times New Roman" w:cs="Times New Roman"/>
                <w:sz w:val="20"/>
                <w:szCs w:val="20"/>
              </w:rPr>
              <w:t>，计</w:t>
            </w:r>
            <w:r>
              <w:rPr>
                <w:rStyle w:val="7"/>
                <w:sz w:val="20"/>
                <w:szCs w:val="20"/>
              </w:rPr>
              <w:t>3</w:t>
            </w:r>
            <w:r>
              <w:rPr>
                <w:rStyle w:val="6"/>
                <w:rFonts w:hint="default" w:ascii="Times New Roman" w:hAnsi="Times New Roman" w:cs="Times New Roman"/>
                <w:sz w:val="20"/>
                <w:szCs w:val="20"/>
              </w:rPr>
              <w:t>分；</w:t>
            </w:r>
            <w:r>
              <w:rPr>
                <w:rStyle w:val="7"/>
                <w:sz w:val="20"/>
                <w:szCs w:val="20"/>
              </w:rPr>
              <w:t>5-10%</w:t>
            </w:r>
            <w:r>
              <w:rPr>
                <w:rStyle w:val="6"/>
                <w:rFonts w:hint="default" w:ascii="Times New Roman" w:hAnsi="Times New Roman" w:cs="Times New Roman"/>
                <w:sz w:val="20"/>
                <w:szCs w:val="20"/>
              </w:rPr>
              <w:t>（含），计</w:t>
            </w:r>
            <w:r>
              <w:rPr>
                <w:rStyle w:val="7"/>
                <w:sz w:val="20"/>
                <w:szCs w:val="20"/>
              </w:rPr>
              <w:t>1.5</w:t>
            </w:r>
            <w:r>
              <w:rPr>
                <w:rStyle w:val="6"/>
                <w:rFonts w:hint="default" w:ascii="Times New Roman" w:hAnsi="Times New Roman" w:cs="Times New Roman"/>
                <w:sz w:val="20"/>
                <w:szCs w:val="20"/>
              </w:rPr>
              <w:t>分；大于</w:t>
            </w:r>
            <w:r>
              <w:rPr>
                <w:rStyle w:val="7"/>
                <w:sz w:val="20"/>
                <w:szCs w:val="20"/>
              </w:rPr>
              <w:t>10%</w:t>
            </w:r>
            <w:r>
              <w:rPr>
                <w:rStyle w:val="6"/>
                <w:rFonts w:hint="default" w:ascii="Times New Roman" w:hAnsi="Times New Roman" w:cs="Times New Roman"/>
                <w:sz w:val="20"/>
                <w:szCs w:val="20"/>
              </w:rPr>
              <w:t>不得分。</w:t>
            </w:r>
          </w:p>
        </w:tc>
        <w:tc>
          <w:tcPr>
            <w:tcW w:w="477" w:type="pct"/>
            <w:tcMar>
              <w:top w:w="15" w:type="dxa"/>
              <w:left w:w="15" w:type="dxa"/>
              <w:right w:w="15" w:type="dxa"/>
            </w:tcMar>
            <w:vAlign w:val="center"/>
          </w:tcPr>
          <w:p>
            <w:pPr>
              <w:widowControl/>
              <w:spacing w:line="26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w:t>
            </w:r>
            <w:r>
              <w:rPr>
                <w:rFonts w:hint="eastAsia"/>
                <w:color w:val="000000"/>
                <w:kern w:val="0"/>
                <w:sz w:val="20"/>
                <w:szCs w:val="20"/>
                <w:highlight w:val="red"/>
              </w:rPr>
              <w:t>区</w:t>
            </w:r>
            <w:r>
              <w:rPr>
                <w:color w:val="000000"/>
                <w:kern w:val="0"/>
                <w:sz w:val="20"/>
                <w:szCs w:val="20"/>
                <w:highlight w:val="red"/>
              </w:rPr>
              <w:t>政府</w:t>
            </w:r>
            <w:r>
              <w:rPr>
                <w:color w:val="000000"/>
                <w:kern w:val="0"/>
                <w:sz w:val="20"/>
                <w:szCs w:val="20"/>
              </w:rPr>
              <w:t>文件规定，预算单位年度安排的</w:t>
            </w:r>
            <w:r>
              <w:rPr>
                <w:rFonts w:hint="eastAsia"/>
                <w:color w:val="000000"/>
                <w:kern w:val="0"/>
                <w:sz w:val="20"/>
                <w:szCs w:val="20"/>
                <w:highlight w:val="red"/>
              </w:rPr>
              <w:t>区</w:t>
            </w:r>
            <w:r>
              <w:rPr>
                <w:color w:val="000000"/>
                <w:kern w:val="0"/>
                <w:sz w:val="20"/>
                <w:szCs w:val="20"/>
                <w:highlight w:val="red"/>
              </w:rPr>
              <w:t>级预算资金</w:t>
            </w:r>
            <w:r>
              <w:rPr>
                <w:color w:val="000000"/>
                <w:kern w:val="0"/>
                <w:sz w:val="20"/>
                <w:szCs w:val="20"/>
              </w:rPr>
              <w:t>不能结转。</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Fonts w:hint="eastAsia"/>
                <w:color w:val="000000"/>
                <w:kern w:val="0"/>
                <w:sz w:val="20"/>
                <w:szCs w:val="20"/>
                <w:highlight w:val="red"/>
              </w:rPr>
              <w:t>区</w:t>
            </w:r>
            <w:r>
              <w:rPr>
                <w:color w:val="000000"/>
                <w:kern w:val="0"/>
                <w:sz w:val="20"/>
                <w:szCs w:val="20"/>
                <w:highlight w:val="red"/>
              </w:rPr>
              <w:t>本级资金</w:t>
            </w:r>
            <w:r>
              <w:rPr>
                <w:color w:val="000000"/>
                <w:kern w:val="0"/>
                <w:sz w:val="20"/>
                <w:szCs w:val="20"/>
              </w:rPr>
              <w:t>无结转，计2分；有结转，不计分；</w:t>
            </w:r>
          </w:p>
        </w:tc>
        <w:tc>
          <w:tcPr>
            <w:tcW w:w="477" w:type="pct"/>
            <w:tcMar>
              <w:top w:w="15" w:type="dxa"/>
              <w:left w:w="15" w:type="dxa"/>
              <w:right w:w="15" w:type="dxa"/>
            </w:tcMar>
            <w:vAlign w:val="center"/>
          </w:tcPr>
          <w:p>
            <w:pPr>
              <w:widowControl/>
              <w:spacing w:line="26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7"/>
                <w:sz w:val="20"/>
                <w:szCs w:val="20"/>
              </w:rPr>
              <w:t>“</w:t>
            </w:r>
            <w:r>
              <w:rPr>
                <w:rStyle w:val="6"/>
                <w:rFonts w:hint="default" w:ascii="Times New Roman" w:hAnsi="Times New Roman" w:cs="Times New Roman"/>
                <w:sz w:val="20"/>
                <w:szCs w:val="20"/>
              </w:rPr>
              <w:t>三公</w:t>
            </w:r>
          </w:p>
          <w:p>
            <w:pPr>
              <w:widowControl/>
              <w:spacing w:line="260" w:lineRule="exact"/>
              <w:jc w:val="center"/>
              <w:textAlignment w:val="center"/>
              <w:rPr>
                <w:rStyle w:val="7"/>
                <w:sz w:val="20"/>
                <w:szCs w:val="20"/>
              </w:rPr>
            </w:pPr>
            <w:r>
              <w:rPr>
                <w:rStyle w:val="6"/>
                <w:rFonts w:hint="default" w:ascii="Times New Roman" w:hAnsi="Times New Roman" w:cs="Times New Roman"/>
                <w:sz w:val="20"/>
                <w:szCs w:val="20"/>
              </w:rPr>
              <w:t>经费</w:t>
            </w:r>
            <w:r>
              <w:rPr>
                <w:rStyle w:val="7"/>
                <w:sz w:val="20"/>
                <w:szCs w:val="20"/>
              </w:rPr>
              <w:t>”</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控制率</w:t>
            </w:r>
            <w:r>
              <w:rPr>
                <w:rStyle w:val="7"/>
                <w:sz w:val="20"/>
                <w:szCs w:val="20"/>
              </w:rPr>
              <w:t>=</w:t>
            </w:r>
            <w:r>
              <w:rPr>
                <w:rStyle w:val="6"/>
                <w:rFonts w:hint="default" w:ascii="Times New Roman" w:hAnsi="Times New Roman" w:cs="Times New Roman"/>
                <w:sz w:val="20"/>
                <w:szCs w:val="20"/>
              </w:rPr>
              <w:t>（</w:t>
            </w: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实际支出数</w:t>
            </w: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预算安排数）</w:t>
            </w:r>
            <w:r>
              <w:rPr>
                <w:rStyle w:val="7"/>
                <w:sz w:val="20"/>
                <w:szCs w:val="20"/>
              </w:rPr>
              <w:t>×100%</w:t>
            </w:r>
            <w:r>
              <w:rPr>
                <w:rStyle w:val="6"/>
                <w:rFonts w:hint="default" w:ascii="Times New Roman" w:hAnsi="Times New Roman" w:cs="Times New Roman"/>
                <w:sz w:val="20"/>
                <w:szCs w:val="20"/>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控制率</w:t>
            </w:r>
            <w:r>
              <w:rPr>
                <w:rStyle w:val="7"/>
                <w:sz w:val="20"/>
                <w:szCs w:val="20"/>
              </w:rPr>
              <w:t>100%</w:t>
            </w:r>
            <w:r>
              <w:rPr>
                <w:rStyle w:val="6"/>
                <w:rFonts w:hint="default" w:ascii="Times New Roman" w:hAnsi="Times New Roman" w:cs="Times New Roman"/>
                <w:sz w:val="20"/>
                <w:szCs w:val="20"/>
              </w:rPr>
              <w:t>以下（含）计</w:t>
            </w:r>
            <w:r>
              <w:rPr>
                <w:rStyle w:val="7"/>
                <w:sz w:val="20"/>
                <w:szCs w:val="20"/>
              </w:rPr>
              <w:t>2</w:t>
            </w:r>
            <w:r>
              <w:rPr>
                <w:rStyle w:val="6"/>
                <w:rFonts w:hint="default" w:ascii="Times New Roman" w:hAnsi="Times New Roman" w:cs="Times New Roman"/>
                <w:sz w:val="20"/>
                <w:szCs w:val="20"/>
              </w:rPr>
              <w:t>分，每超出</w:t>
            </w:r>
            <w:r>
              <w:rPr>
                <w:rStyle w:val="7"/>
                <w:sz w:val="20"/>
                <w:szCs w:val="20"/>
              </w:rPr>
              <w:t>1%</w:t>
            </w:r>
            <w:r>
              <w:rPr>
                <w:rStyle w:val="6"/>
                <w:rFonts w:hint="default" w:ascii="Times New Roman" w:hAnsi="Times New Roman" w:cs="Times New Roman"/>
                <w:sz w:val="20"/>
                <w:szCs w:val="20"/>
              </w:rPr>
              <w:t>扣</w:t>
            </w:r>
            <w:r>
              <w:rPr>
                <w:rStyle w:val="7"/>
                <w:sz w:val="20"/>
                <w:szCs w:val="20"/>
              </w:rPr>
              <w:t>0.15</w:t>
            </w:r>
            <w:r>
              <w:rPr>
                <w:rStyle w:val="6"/>
                <w:rFonts w:hint="default" w:ascii="Times New Roman" w:hAnsi="Times New Roman" w:cs="Times New Roman"/>
                <w:sz w:val="20"/>
                <w:szCs w:val="20"/>
              </w:rPr>
              <w:t>分，扣完为止。</w:t>
            </w:r>
          </w:p>
        </w:tc>
        <w:tc>
          <w:tcPr>
            <w:tcW w:w="477" w:type="pct"/>
            <w:tcMar>
              <w:top w:w="15" w:type="dxa"/>
              <w:left w:w="15" w:type="dxa"/>
              <w:right w:w="15" w:type="dxa"/>
            </w:tcMar>
            <w:vAlign w:val="center"/>
          </w:tcPr>
          <w:p>
            <w:pPr>
              <w:widowControl/>
              <w:spacing w:line="260" w:lineRule="exact"/>
              <w:textAlignment w:val="center"/>
              <w:rPr>
                <w:rStyle w:val="7"/>
                <w:sz w:val="20"/>
                <w:szCs w:val="20"/>
              </w:rPr>
            </w:pPr>
            <w:r>
              <w:rPr>
                <w:rStyle w:val="7"/>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Fonts w:hint="eastAsia" w:eastAsia="宋体"/>
                <w:color w:val="000000"/>
                <w:kern w:val="0"/>
                <w:sz w:val="20"/>
                <w:szCs w:val="20"/>
                <w:lang w:eastAsia="zh-CN"/>
              </w:rPr>
            </w:pPr>
            <w:r>
              <w:rPr>
                <w:color w:val="000000"/>
                <w:kern w:val="0"/>
                <w:sz w:val="20"/>
                <w:szCs w:val="20"/>
              </w:rPr>
              <w:t>政府采购</w:t>
            </w:r>
          </w:p>
          <w:p>
            <w:pPr>
              <w:widowControl/>
              <w:spacing w:line="260" w:lineRule="exact"/>
              <w:jc w:val="center"/>
              <w:textAlignment w:val="center"/>
              <w:rPr>
                <w:rFonts w:hint="eastAsia" w:eastAsia="宋体"/>
                <w:color w:val="000000"/>
                <w:kern w:val="0"/>
                <w:sz w:val="20"/>
                <w:szCs w:val="20"/>
                <w:lang w:eastAsia="zh-CN"/>
              </w:rPr>
            </w:pPr>
            <w:r>
              <w:rPr>
                <w:color w:val="000000"/>
                <w:kern w:val="0"/>
                <w:sz w:val="20"/>
                <w:szCs w:val="20"/>
              </w:rPr>
              <w:t>执行率和</w:t>
            </w:r>
          </w:p>
          <w:p>
            <w:pPr>
              <w:widowControl/>
              <w:spacing w:line="260" w:lineRule="exact"/>
              <w:jc w:val="center"/>
              <w:textAlignment w:val="center"/>
              <w:rPr>
                <w:color w:val="000000"/>
                <w:sz w:val="20"/>
                <w:szCs w:val="20"/>
              </w:rPr>
            </w:pP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政府采购执行率</w:t>
            </w:r>
            <w:r>
              <w:rPr>
                <w:rStyle w:val="7"/>
                <w:sz w:val="20"/>
                <w:szCs w:val="20"/>
              </w:rPr>
              <w:t>=</w:t>
            </w:r>
            <w:r>
              <w:rPr>
                <w:rStyle w:val="6"/>
                <w:rFonts w:hint="default" w:ascii="Times New Roman" w:hAnsi="Times New Roman" w:cs="Times New Roman"/>
                <w:sz w:val="20"/>
                <w:szCs w:val="20"/>
              </w:rPr>
              <w:t>（实际政府采购金额</w:t>
            </w:r>
            <w:r>
              <w:rPr>
                <w:rStyle w:val="7"/>
                <w:sz w:val="20"/>
                <w:szCs w:val="20"/>
              </w:rPr>
              <w:t>/</w:t>
            </w:r>
            <w:r>
              <w:rPr>
                <w:rStyle w:val="6"/>
                <w:rFonts w:hint="default" w:ascii="Times New Roman" w:hAnsi="Times New Roman" w:cs="Times New Roman"/>
                <w:sz w:val="20"/>
                <w:szCs w:val="20"/>
              </w:rPr>
              <w:t>政府采购预算数）</w:t>
            </w:r>
            <w:r>
              <w:rPr>
                <w:rStyle w:val="7"/>
                <w:sz w:val="20"/>
                <w:szCs w:val="20"/>
              </w:rPr>
              <w:t>×100%</w:t>
            </w:r>
            <w:r>
              <w:rPr>
                <w:rStyle w:val="6"/>
                <w:rFonts w:hint="default" w:ascii="Times New Roman" w:hAnsi="Times New Roman" w:cs="Times New Roman"/>
                <w:sz w:val="20"/>
                <w:szCs w:val="20"/>
              </w:rPr>
              <w:t>；</w:t>
            </w:r>
          </w:p>
          <w:p>
            <w:pPr>
              <w:widowControl/>
              <w:spacing w:line="260" w:lineRule="exact"/>
              <w:jc w:val="left"/>
              <w:textAlignment w:val="center"/>
              <w:rPr>
                <w:rStyle w:val="6"/>
                <w:rFonts w:hint="eastAsia" w:ascii="Times New Roman" w:hAnsi="Times New Roman" w:eastAsia="宋体" w:cs="Times New Roman"/>
                <w:spacing w:val="-6"/>
                <w:sz w:val="20"/>
                <w:szCs w:val="20"/>
                <w:lang w:eastAsia="zh-CN"/>
              </w:rPr>
            </w:pPr>
            <w:r>
              <w:rPr>
                <w:rStyle w:val="6"/>
                <w:rFonts w:hint="default" w:ascii="Times New Roman" w:hAnsi="Times New Roman" w:cs="Times New Roman"/>
                <w:spacing w:val="-6"/>
                <w:sz w:val="20"/>
                <w:szCs w:val="20"/>
              </w:rPr>
              <w:t>政府采购预算：采购机关根据事业发展计划和行政任务编制的、并经过规定程序批准的年度政府采购计划。</w:t>
            </w:r>
          </w:p>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预算单位严格执行《政府采购法》，无规避政府采购或化整为零进行政府采购的行为。所有项目必须依法采购，履行验收手续。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政府采购执行率</w:t>
            </w:r>
            <w:r>
              <w:rPr>
                <w:rStyle w:val="7"/>
                <w:sz w:val="20"/>
                <w:szCs w:val="20"/>
              </w:rPr>
              <w:t>100%</w:t>
            </w:r>
            <w:r>
              <w:rPr>
                <w:rStyle w:val="6"/>
                <w:rFonts w:hint="default" w:ascii="Times New Roman" w:hAnsi="Times New Roman" w:cs="Times New Roman"/>
                <w:sz w:val="20"/>
                <w:szCs w:val="20"/>
              </w:rPr>
              <w:t>计</w:t>
            </w:r>
            <w:r>
              <w:rPr>
                <w:rStyle w:val="7"/>
                <w:sz w:val="20"/>
                <w:szCs w:val="20"/>
              </w:rPr>
              <w:t>1</w:t>
            </w:r>
            <w:r>
              <w:rPr>
                <w:rStyle w:val="6"/>
                <w:rFonts w:hint="default" w:ascii="Times New Roman" w:hAnsi="Times New Roman" w:cs="Times New Roman"/>
                <w:sz w:val="20"/>
                <w:szCs w:val="20"/>
              </w:rPr>
              <w:t>分，每超过（降低）</w:t>
            </w:r>
            <w:r>
              <w:rPr>
                <w:rStyle w:val="7"/>
                <w:sz w:val="20"/>
                <w:szCs w:val="20"/>
              </w:rPr>
              <w:t>1%</w:t>
            </w:r>
            <w:r>
              <w:rPr>
                <w:rStyle w:val="6"/>
                <w:rFonts w:hint="default" w:ascii="Times New Roman" w:hAnsi="Times New Roman" w:cs="Times New Roman"/>
                <w:sz w:val="20"/>
                <w:szCs w:val="20"/>
              </w:rPr>
              <w:t>扣</w:t>
            </w:r>
            <w:r>
              <w:rPr>
                <w:rStyle w:val="7"/>
                <w:sz w:val="20"/>
                <w:szCs w:val="20"/>
              </w:rPr>
              <w:t>0.1</w:t>
            </w:r>
            <w:r>
              <w:rPr>
                <w:rStyle w:val="6"/>
                <w:rFonts w:hint="default" w:ascii="Times New Roman" w:hAnsi="Times New Roman" w:cs="Times New Roman"/>
                <w:sz w:val="20"/>
                <w:szCs w:val="20"/>
              </w:rPr>
              <w:t>分，扣完为止。</w:t>
            </w:r>
          </w:p>
          <w:p>
            <w:pPr>
              <w:widowControl/>
              <w:spacing w:line="260" w:lineRule="exact"/>
              <w:textAlignment w:val="center"/>
              <w:rPr>
                <w:color w:val="000000"/>
                <w:sz w:val="20"/>
                <w:szCs w:val="20"/>
              </w:rPr>
            </w:pPr>
            <w:r>
              <w:rPr>
                <w:rStyle w:val="6"/>
                <w:rFonts w:hint="default" w:ascii="Times New Roman" w:hAnsi="Times New Roman" w:cs="Times New Roman"/>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w:t>
            </w:r>
          </w:p>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w:t>
            </w:r>
            <w:r>
              <w:rPr>
                <w:rStyle w:val="7"/>
                <w:sz w:val="20"/>
                <w:szCs w:val="20"/>
              </w:rPr>
              <w:t>20</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管理制度</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①部门（单位）内控制度、内部财务管理制度和会计核算制度是否健全；</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②相关管理制度是否合法、合规、完整；</w:t>
            </w:r>
          </w:p>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①部门（单位）内控制度、内部财务管理制度和会计核算制度健全，计</w:t>
            </w:r>
            <w:r>
              <w:rPr>
                <w:rStyle w:val="7"/>
                <w:sz w:val="20"/>
                <w:szCs w:val="20"/>
              </w:rPr>
              <w:t>1</w:t>
            </w:r>
            <w:r>
              <w:rPr>
                <w:rStyle w:val="6"/>
                <w:rFonts w:hint="default" w:ascii="Times New Roman" w:hAnsi="Times New Roman" w:cs="Times New Roman"/>
                <w:sz w:val="20"/>
                <w:szCs w:val="20"/>
              </w:rPr>
              <w:t>分，否则酌情扣分；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②管理制度合法、合规、完整，计</w:t>
            </w:r>
            <w:r>
              <w:rPr>
                <w:rStyle w:val="7"/>
                <w:sz w:val="20"/>
                <w:szCs w:val="20"/>
              </w:rPr>
              <w:t>1</w:t>
            </w:r>
            <w:r>
              <w:rPr>
                <w:rStyle w:val="6"/>
                <w:rFonts w:hint="default" w:ascii="Times New Roman" w:hAnsi="Times New Roman" w:cs="Times New Roman"/>
                <w:sz w:val="20"/>
                <w:szCs w:val="20"/>
              </w:rPr>
              <w:t>分，否则酌情扣分；</w:t>
            </w:r>
          </w:p>
          <w:p>
            <w:pPr>
              <w:widowControl/>
              <w:spacing w:line="260" w:lineRule="exact"/>
              <w:textAlignment w:val="center"/>
              <w:rPr>
                <w:color w:val="000000"/>
                <w:sz w:val="20"/>
                <w:szCs w:val="20"/>
              </w:rPr>
            </w:pPr>
            <w:r>
              <w:rPr>
                <w:rStyle w:val="6"/>
                <w:rFonts w:hint="default" w:ascii="Times New Roman" w:hAnsi="Times New Roman" w:cs="Times New Roman"/>
                <w:sz w:val="20"/>
                <w:szCs w:val="20"/>
              </w:rPr>
              <w:t>③管理制度得到有效执行，计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6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资金使用</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①是否符合国家财经法规和财务管理制度以及有关专项资金管理办法的规定；</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②资金的支付是否有完整的审批程序和手续；</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③重大项目开支和大额资金使用是否经单位党组集体研究决策；</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④是否符合项目预算批复或合同规定的用途；</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⑤是否存在截留、挤占、挪用、虚列支出等情况；</w:t>
            </w:r>
          </w:p>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①符合国家财经法规和财务管理制度以及有关专项资金管理办法的规定，计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②资金的支付有完整的审批程序和手续，计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③重大项目开支和大额资金使用经过单位党组集体研究决策，计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④符合项目预算批复或合同规定的用途，计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⑤不存在截留、挤占、挪用、虚列支出等情况，计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例不符合本指标</w:t>
            </w:r>
            <w:r>
              <w:rPr>
                <w:rStyle w:val="7"/>
                <w:sz w:val="20"/>
                <w:szCs w:val="20"/>
              </w:rPr>
              <w:t>6</w:t>
            </w:r>
            <w:r>
              <w:rPr>
                <w:rStyle w:val="6"/>
                <w:rFonts w:hint="default" w:ascii="Times New Roman" w:hAnsi="Times New Roman" w:cs="Times New Roman"/>
                <w:sz w:val="20"/>
                <w:szCs w:val="20"/>
              </w:rPr>
              <w:t>分全扣；</w:t>
            </w:r>
          </w:p>
          <w:p>
            <w:pPr>
              <w:widowControl/>
              <w:spacing w:line="260" w:lineRule="exact"/>
              <w:textAlignment w:val="center"/>
              <w:rPr>
                <w:rStyle w:val="6"/>
                <w:rFonts w:hint="eastAsia" w:ascii="Times New Roman" w:hAnsi="Times New Roman" w:eastAsia="宋体" w:cs="Times New Roman"/>
                <w:spacing w:val="-6"/>
                <w:sz w:val="20"/>
                <w:szCs w:val="20"/>
                <w:lang w:eastAsia="zh-CN"/>
              </w:rPr>
            </w:pPr>
            <w:r>
              <w:rPr>
                <w:rStyle w:val="6"/>
                <w:rFonts w:hint="default" w:ascii="Times New Roman" w:hAnsi="Times New Roman" w:cs="Times New Roman"/>
                <w:sz w:val="20"/>
                <w:szCs w:val="20"/>
              </w:rPr>
              <w:t>⑥</w:t>
            </w:r>
            <w:r>
              <w:rPr>
                <w:rStyle w:val="6"/>
                <w:rFonts w:hint="default" w:ascii="Times New Roman" w:hAnsi="Times New Roman" w:cs="Times New Roman"/>
                <w:spacing w:val="-6"/>
                <w:sz w:val="20"/>
                <w:szCs w:val="20"/>
              </w:rPr>
              <w:t>不存在重复申报项目、虚报冒领资金，计</w:t>
            </w:r>
            <w:r>
              <w:rPr>
                <w:rStyle w:val="7"/>
                <w:spacing w:val="-6"/>
                <w:sz w:val="20"/>
                <w:szCs w:val="20"/>
              </w:rPr>
              <w:t>1</w:t>
            </w:r>
            <w:r>
              <w:rPr>
                <w:rStyle w:val="6"/>
                <w:rFonts w:hint="default" w:ascii="Times New Roman" w:hAnsi="Times New Roman" w:cs="Times New Roman"/>
                <w:spacing w:val="-6"/>
                <w:sz w:val="20"/>
                <w:szCs w:val="20"/>
              </w:rPr>
              <w:t>分，</w:t>
            </w:r>
            <w:r>
              <w:rPr>
                <w:rStyle w:val="7"/>
                <w:spacing w:val="-6"/>
                <w:sz w:val="20"/>
                <w:szCs w:val="20"/>
              </w:rPr>
              <w:t>1</w:t>
            </w:r>
            <w:r>
              <w:rPr>
                <w:rStyle w:val="6"/>
                <w:rFonts w:hint="default" w:ascii="Times New Roman" w:hAnsi="Times New Roman" w:cs="Times New Roman"/>
                <w:spacing w:val="-6"/>
                <w:sz w:val="20"/>
                <w:szCs w:val="20"/>
              </w:rPr>
              <w:t>例不符合本指标6分全扣；</w:t>
            </w:r>
          </w:p>
          <w:p>
            <w:pPr>
              <w:widowControl/>
              <w:spacing w:line="260" w:lineRule="exact"/>
              <w:textAlignment w:val="center"/>
              <w:rPr>
                <w:color w:val="000000"/>
                <w:sz w:val="20"/>
                <w:szCs w:val="20"/>
              </w:rPr>
            </w:pPr>
            <w:r>
              <w:rPr>
                <w:rStyle w:val="6"/>
                <w:rFonts w:hint="default" w:ascii="Times New Roman" w:hAnsi="Times New Roman" w:cs="Times New Roman"/>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过程</w:t>
            </w:r>
          </w:p>
          <w:p>
            <w:pPr>
              <w:spacing w:line="280" w:lineRule="exact"/>
              <w:jc w:val="center"/>
              <w:rPr>
                <w:color w:val="000000"/>
                <w:sz w:val="20"/>
                <w:szCs w:val="20"/>
              </w:rPr>
            </w:pPr>
            <w:r>
              <w:rPr>
                <w:rStyle w:val="6"/>
                <w:rFonts w:hint="default" w:ascii="Times New Roman" w:hAnsi="Times New Roman" w:cs="Times New Roman"/>
                <w:sz w:val="20"/>
                <w:szCs w:val="20"/>
              </w:rPr>
              <w:t>（</w:t>
            </w:r>
            <w:r>
              <w:rPr>
                <w:rStyle w:val="7"/>
                <w:sz w:val="20"/>
                <w:szCs w:val="20"/>
              </w:rPr>
              <w:t>40</w:t>
            </w:r>
            <w:r>
              <w:rPr>
                <w:rStyle w:val="6"/>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w:t>
            </w:r>
          </w:p>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w:t>
            </w:r>
            <w:r>
              <w:rPr>
                <w:rStyle w:val="7"/>
                <w:sz w:val="20"/>
                <w:szCs w:val="20"/>
              </w:rPr>
              <w:t>20</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①预算单位按规定及时、准确、完整的公开预决算和绩效管理信息；</w:t>
            </w:r>
          </w:p>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①、②各计</w:t>
            </w:r>
            <w:r>
              <w:rPr>
                <w:rStyle w:val="7"/>
                <w:sz w:val="20"/>
                <w:szCs w:val="20"/>
              </w:rPr>
              <w:t>1</w:t>
            </w:r>
            <w:r>
              <w:rPr>
                <w:rStyle w:val="6"/>
                <w:rFonts w:hint="default" w:ascii="Times New Roman" w:hAnsi="Times New Roman" w:cs="Times New Roman"/>
                <w:sz w:val="20"/>
                <w:szCs w:val="20"/>
              </w:rPr>
              <w:t>分，否则，酌情扣分；</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绩效自评</w:t>
            </w:r>
          </w:p>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根据</w:t>
            </w:r>
            <w:r>
              <w:rPr>
                <w:rStyle w:val="6"/>
                <w:rFonts w:hint="default" w:cs="Times New Roman"/>
                <w:sz w:val="20"/>
                <w:szCs w:val="20"/>
                <w:highlight w:val="red"/>
              </w:rPr>
              <w:t>区</w:t>
            </w:r>
            <w:r>
              <w:rPr>
                <w:rStyle w:val="6"/>
                <w:rFonts w:hint="default" w:ascii="Times New Roman" w:hAnsi="Times New Roman" w:cs="Times New Roman"/>
                <w:sz w:val="20"/>
                <w:szCs w:val="20"/>
                <w:highlight w:val="red"/>
              </w:rPr>
              <w:t>财政局</w:t>
            </w:r>
            <w:r>
              <w:rPr>
                <w:rStyle w:val="6"/>
                <w:rFonts w:hint="default" w:ascii="Times New Roman" w:hAnsi="Times New Roman" w:cs="Times New Roman"/>
                <w:sz w:val="20"/>
                <w:szCs w:val="20"/>
              </w:rPr>
              <w:t>2020年考核结果，评审为优，计</w:t>
            </w:r>
            <w:r>
              <w:rPr>
                <w:rStyle w:val="7"/>
                <w:sz w:val="20"/>
                <w:szCs w:val="20"/>
              </w:rPr>
              <w:t>4</w:t>
            </w:r>
            <w:r>
              <w:rPr>
                <w:rStyle w:val="6"/>
                <w:rFonts w:hint="default" w:ascii="Times New Roman" w:hAnsi="Times New Roman" w:cs="Times New Roman"/>
                <w:sz w:val="20"/>
                <w:szCs w:val="20"/>
              </w:rPr>
              <w:t>分；评审为良，计</w:t>
            </w:r>
            <w:r>
              <w:rPr>
                <w:rStyle w:val="7"/>
                <w:sz w:val="20"/>
                <w:szCs w:val="20"/>
              </w:rPr>
              <w:t>3</w:t>
            </w:r>
            <w:r>
              <w:rPr>
                <w:rStyle w:val="6"/>
                <w:rFonts w:hint="default" w:ascii="Times New Roman" w:hAnsi="Times New Roman" w:cs="Times New Roman"/>
                <w:sz w:val="20"/>
                <w:szCs w:val="20"/>
              </w:rPr>
              <w:t>分；评审为中，计</w:t>
            </w:r>
            <w:r>
              <w:rPr>
                <w:rStyle w:val="7"/>
                <w:sz w:val="20"/>
                <w:szCs w:val="20"/>
              </w:rPr>
              <w:t>2</w:t>
            </w:r>
            <w:r>
              <w:rPr>
                <w:rStyle w:val="6"/>
                <w:rFonts w:hint="default" w:ascii="Times New Roman" w:hAnsi="Times New Roman" w:cs="Times New Roman"/>
                <w:sz w:val="20"/>
                <w:szCs w:val="20"/>
              </w:rPr>
              <w:t>分；评审为低，计</w:t>
            </w:r>
            <w:r>
              <w:rPr>
                <w:rStyle w:val="7"/>
                <w:sz w:val="20"/>
                <w:szCs w:val="20"/>
              </w:rPr>
              <w:t>1</w:t>
            </w:r>
            <w:r>
              <w:rPr>
                <w:rStyle w:val="6"/>
                <w:rFonts w:hint="default" w:ascii="Times New Roman" w:hAnsi="Times New Roman" w:cs="Times New Roman"/>
                <w:sz w:val="20"/>
                <w:szCs w:val="20"/>
              </w:rPr>
              <w:t>分；评审为差，计</w:t>
            </w:r>
            <w:r>
              <w:rPr>
                <w:rStyle w:val="7"/>
                <w:sz w:val="20"/>
                <w:szCs w:val="20"/>
              </w:rPr>
              <w:t>0</w:t>
            </w:r>
            <w:r>
              <w:rPr>
                <w:rStyle w:val="6"/>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2019年重点评价问题全部整改，计</w:t>
            </w:r>
            <w:r>
              <w:rPr>
                <w:rStyle w:val="7"/>
                <w:sz w:val="20"/>
                <w:szCs w:val="20"/>
              </w:rPr>
              <w:t>5</w:t>
            </w:r>
            <w:r>
              <w:rPr>
                <w:rStyle w:val="6"/>
                <w:rFonts w:hint="default" w:ascii="Times New Roman" w:hAnsi="Times New Roman" w:cs="Times New Roman"/>
                <w:sz w:val="20"/>
                <w:szCs w:val="20"/>
              </w:rPr>
              <w:t>分；2019年重点评价问题部分整改，计</w:t>
            </w:r>
            <w:r>
              <w:rPr>
                <w:rStyle w:val="7"/>
                <w:sz w:val="20"/>
                <w:szCs w:val="20"/>
              </w:rPr>
              <w:t>3</w:t>
            </w:r>
            <w:r>
              <w:rPr>
                <w:rStyle w:val="6"/>
                <w:rFonts w:hint="default" w:ascii="Times New Roman" w:hAnsi="Times New Roman" w:cs="Times New Roman"/>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资产</w:t>
            </w:r>
          </w:p>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w:t>
            </w:r>
          </w:p>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w:t>
            </w:r>
            <w:r>
              <w:rPr>
                <w:rStyle w:val="7"/>
                <w:sz w:val="20"/>
                <w:szCs w:val="20"/>
              </w:rPr>
              <w:t>5</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资产</w:t>
            </w:r>
          </w:p>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①是否已制定合法、合规、完整的资产管理制度；</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②相关资产管理制度是否得到有效执行；</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③资产配置是否编制年度预算；</w:t>
            </w:r>
          </w:p>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①已制定合法、合规、完整的资产管理制度，计</w:t>
            </w:r>
            <w:r>
              <w:rPr>
                <w:rStyle w:val="7"/>
                <w:sz w:val="20"/>
                <w:szCs w:val="20"/>
              </w:rPr>
              <w:t>0.5</w:t>
            </w:r>
            <w:r>
              <w:rPr>
                <w:rStyle w:val="6"/>
                <w:rFonts w:hint="default" w:ascii="Times New Roman" w:hAnsi="Times New Roman" w:cs="Times New Roman"/>
                <w:sz w:val="20"/>
                <w:szCs w:val="20"/>
              </w:rPr>
              <w:t>分，否则不得分；</w:t>
            </w:r>
          </w:p>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②相关资产管理制度得到有效执行，计</w:t>
            </w:r>
            <w:r>
              <w:rPr>
                <w:rStyle w:val="7"/>
                <w:sz w:val="20"/>
                <w:szCs w:val="20"/>
              </w:rPr>
              <w:t>0.5</w:t>
            </w:r>
            <w:r>
              <w:rPr>
                <w:rStyle w:val="6"/>
                <w:rFonts w:hint="default" w:ascii="Times New Roman" w:hAnsi="Times New Roman" w:cs="Times New Roman"/>
                <w:sz w:val="20"/>
                <w:szCs w:val="20"/>
              </w:rPr>
              <w:t>分，否则，不得分；</w:t>
            </w:r>
          </w:p>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③资产管理编制年度预算，计</w:t>
            </w:r>
            <w:r>
              <w:rPr>
                <w:rStyle w:val="7"/>
                <w:sz w:val="20"/>
                <w:szCs w:val="20"/>
              </w:rPr>
              <w:t>0.5</w:t>
            </w:r>
            <w:r>
              <w:rPr>
                <w:rStyle w:val="6"/>
                <w:rFonts w:hint="default" w:ascii="Times New Roman" w:hAnsi="Times New Roman" w:cs="Times New Roman"/>
                <w:sz w:val="20"/>
                <w:szCs w:val="20"/>
              </w:rPr>
              <w:t>分，未编制不得分。</w:t>
            </w:r>
          </w:p>
          <w:p>
            <w:pPr>
              <w:widowControl/>
              <w:spacing w:line="280" w:lineRule="exact"/>
              <w:textAlignment w:val="center"/>
              <w:rPr>
                <w:color w:val="000000"/>
                <w:sz w:val="20"/>
                <w:szCs w:val="20"/>
              </w:rPr>
            </w:pPr>
            <w:r>
              <w:rPr>
                <w:rStyle w:val="6"/>
                <w:rFonts w:hint="default" w:ascii="Times New Roman" w:hAnsi="Times New Roman" w:cs="Times New Roman"/>
                <w:sz w:val="20"/>
                <w:szCs w:val="20"/>
              </w:rPr>
              <w:t>④资产配置预算实际执行情况未超年度预算（按程序审批除外），计</w:t>
            </w:r>
            <w:r>
              <w:rPr>
                <w:rStyle w:val="7"/>
                <w:sz w:val="20"/>
                <w:szCs w:val="20"/>
              </w:rPr>
              <w:t>0.5</w:t>
            </w:r>
            <w:r>
              <w:rPr>
                <w:rStyle w:val="6"/>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资产管理</w:t>
            </w:r>
          </w:p>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①资产保存是否完整并有台账；</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②资产配置是否合理；</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③资产处置是否规范；</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④资产账务管理是否合规，是否</w:t>
            </w:r>
            <w:r>
              <w:rPr>
                <w:rStyle w:val="6"/>
                <w:rFonts w:hint="eastAsia" w:cs="Times New Roman"/>
                <w:sz w:val="20"/>
                <w:szCs w:val="20"/>
                <w:lang w:eastAsia="zh-CN"/>
              </w:rPr>
              <w:t>账</w:t>
            </w:r>
            <w:r>
              <w:rPr>
                <w:rStyle w:val="6"/>
                <w:rFonts w:hint="default" w:ascii="Times New Roman" w:hAnsi="Times New Roman" w:cs="Times New Roman"/>
                <w:sz w:val="20"/>
                <w:szCs w:val="20"/>
              </w:rPr>
              <w:t>实相符；</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⑤资产是否有偿使用或处置收入及时足额上缴；</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⑥相关资产购置是否履行政府采购手续；</w:t>
            </w:r>
          </w:p>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①资产配置合理符合标准、保管完整，账务管理规范，定期盘点并有台账，账实相符的，计</w:t>
            </w:r>
            <w:r>
              <w:rPr>
                <w:rStyle w:val="7"/>
                <w:sz w:val="20"/>
                <w:szCs w:val="20"/>
              </w:rPr>
              <w:t>0.5</w:t>
            </w:r>
            <w:r>
              <w:rPr>
                <w:rStyle w:val="6"/>
                <w:rFonts w:hint="default" w:ascii="Times New Roman" w:hAnsi="Times New Roman" w:cs="Times New Roman"/>
                <w:sz w:val="20"/>
                <w:szCs w:val="20"/>
              </w:rPr>
              <w:t>分，发现一例不符，扣</w:t>
            </w:r>
            <w:r>
              <w:rPr>
                <w:rStyle w:val="7"/>
                <w:sz w:val="20"/>
                <w:szCs w:val="20"/>
              </w:rPr>
              <w:t>0.1</w:t>
            </w:r>
            <w:r>
              <w:rPr>
                <w:rStyle w:val="6"/>
                <w:rFonts w:hint="default" w:ascii="Times New Roman" w:hAnsi="Times New Roman" w:cs="Times New Roman"/>
                <w:sz w:val="20"/>
                <w:szCs w:val="20"/>
              </w:rPr>
              <w:t>分，扣完为止；</w:t>
            </w:r>
          </w:p>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②资产处置规范，计0.5分，发现一例不符，扣0.1分，扣完为止；</w:t>
            </w:r>
          </w:p>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③资产有偿使用或处置收入及时足额上缴，计0.5分，发现未上缴，本项不得分；</w:t>
            </w:r>
          </w:p>
          <w:p>
            <w:pPr>
              <w:widowControl/>
              <w:spacing w:line="280" w:lineRule="exact"/>
              <w:textAlignment w:val="center"/>
              <w:rPr>
                <w:color w:val="000000"/>
                <w:sz w:val="20"/>
                <w:szCs w:val="20"/>
              </w:rPr>
            </w:pPr>
            <w:r>
              <w:rPr>
                <w:rStyle w:val="6"/>
                <w:rFonts w:hint="default" w:ascii="Times New Roman" w:hAnsi="Times New Roman" w:cs="Times New Roman"/>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固定资产</w:t>
            </w:r>
          </w:p>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rFonts w:hint="eastAsia" w:eastAsia="宋体"/>
                <w:color w:val="000000"/>
                <w:kern w:val="0"/>
                <w:sz w:val="20"/>
                <w:szCs w:val="20"/>
                <w:lang w:eastAsia="zh-CN"/>
              </w:rPr>
            </w:pPr>
            <w:r>
              <w:rPr>
                <w:color w:val="000000"/>
                <w:kern w:val="0"/>
                <w:sz w:val="20"/>
                <w:szCs w:val="20"/>
              </w:rPr>
              <w:t>①是否建立固定资产台账，实行编码管理；</w:t>
            </w:r>
          </w:p>
          <w:p>
            <w:pPr>
              <w:widowControl/>
              <w:spacing w:line="280" w:lineRule="exact"/>
              <w:jc w:val="left"/>
              <w:textAlignment w:val="center"/>
              <w:rPr>
                <w:color w:val="000000"/>
                <w:sz w:val="20"/>
                <w:szCs w:val="20"/>
              </w:rPr>
            </w:pP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实际</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完成</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质量</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96.5</w:t>
            </w:r>
          </w:p>
        </w:tc>
      </w:tr>
    </w:tbl>
    <w:p/>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ind w:firstLine="160" w:firstLineChars="50"/>
        <w:rPr>
          <w:rFonts w:eastAsia="黑体"/>
          <w:kern w:val="0"/>
          <w:sz w:val="32"/>
          <w:szCs w:val="32"/>
        </w:rPr>
      </w:pPr>
      <w:r>
        <w:rPr>
          <w:rFonts w:eastAsia="黑体"/>
          <w:kern w:val="0"/>
          <w:sz w:val="32"/>
          <w:szCs w:val="32"/>
        </w:rPr>
        <w:t>附件</w:t>
      </w:r>
      <w:r>
        <w:rPr>
          <w:rFonts w:hint="eastAsia" w:eastAsia="黑体"/>
          <w:kern w:val="0"/>
          <w:sz w:val="32"/>
          <w:szCs w:val="32"/>
        </w:rPr>
        <w:t>3</w:t>
      </w:r>
    </w:p>
    <w:p>
      <w:pPr>
        <w:jc w:val="left"/>
        <w:rPr>
          <w:rFonts w:ascii="仿宋_GB2312" w:hAnsi="仿宋_GB2312" w:eastAsia="仿宋_GB2312" w:cs="仿宋_GB2312"/>
          <w:kern w:val="0"/>
          <w:sz w:val="32"/>
          <w:szCs w:val="32"/>
        </w:rPr>
      </w:pPr>
    </w:p>
    <w:p>
      <w:pPr>
        <w:spacing w:line="600" w:lineRule="exact"/>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2020年度雨花区委党校部门整体支出预算绩效</w:t>
      </w:r>
    </w:p>
    <w:p>
      <w:pPr>
        <w:spacing w:line="600" w:lineRule="exact"/>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自评报告</w:t>
      </w:r>
    </w:p>
    <w:p>
      <w:pPr>
        <w:pStyle w:val="12"/>
        <w:ind w:firstLine="301" w:firstLineChars="100"/>
        <w:rPr>
          <w:rFonts w:hint="eastAsia" w:ascii="宋体" w:hAnsi="宋体"/>
          <w:b/>
          <w:sz w:val="30"/>
          <w:szCs w:val="30"/>
        </w:rPr>
      </w:pPr>
      <w:r>
        <w:rPr>
          <w:rFonts w:hint="eastAsia" w:ascii="仿宋_GB2312" w:hAnsi="仿宋_GB2312" w:eastAsia="仿宋_GB2312" w:cs="仿宋_GB2312"/>
          <w:b/>
          <w:bCs/>
          <w:sz w:val="30"/>
          <w:szCs w:val="30"/>
        </w:rPr>
        <w:t>一、部门、单位基本情况</w:t>
      </w:r>
    </w:p>
    <w:p>
      <w:pPr>
        <w:pStyle w:val="12"/>
        <w:ind w:firstLine="480" w:firstLineChars="200"/>
        <w:rPr>
          <w:rFonts w:hint="eastAsia" w:ascii="宋体" w:hAnsi="宋体"/>
          <w:sz w:val="24"/>
        </w:rPr>
      </w:pPr>
      <w:r>
        <w:rPr>
          <w:rFonts w:hint="eastAsia" w:ascii="宋体" w:hAnsi="宋体"/>
          <w:sz w:val="24"/>
        </w:rPr>
        <w:t>区委党校归属公一类参公事业单位，是党委的一个重要组成部门，是干部教育培训的重要基地和党性锻炼的熔炉，肩负着全区广大党员、干部教育培训的重要任务。其主要职责是干部教育培训和为教学服务的科研工作。多年来，雨花区委党校始终秉承立足区情、面向基层、培训立校、科研强校的办学定位，坚持“三个围绕”、“两个提高”、全力打造‘四个一’(即打造一个好品牌，锤炼一只好队伍，建立一个好机制，推出一批好经验。)的工作目标，积极开展教学、科研活动，为全区经济社会又好又快发展提供坚强的思想政治保证和人才智力的支持。</w:t>
      </w:r>
    </w:p>
    <w:p>
      <w:pPr>
        <w:pStyle w:val="12"/>
        <w:ind w:firstLine="480" w:firstLineChars="200"/>
        <w:jc w:val="left"/>
        <w:rPr>
          <w:rFonts w:hint="eastAsia" w:ascii="宋体" w:hAnsi="宋体"/>
          <w:sz w:val="24"/>
        </w:rPr>
      </w:pPr>
      <w:r>
        <w:rPr>
          <w:rFonts w:hint="eastAsia" w:ascii="宋体" w:hAnsi="宋体"/>
          <w:sz w:val="24"/>
        </w:rPr>
        <w:t>其现有基本条件有：一是管理规范。按照优质服务、科学管理的工作要求，配有行政管理人员4人，办公及后勤服务人员4人，有效地保障了教学培训的正常开展。二是师资力量雄厚。有高级讲师2人，硕士研究生专业人才5 人 。同时，在人才和教师数据库中，还拥有宠大的上级领导专家，高校知名教授，地方土专家和基层优秀代表的师资队伍，为提高教学质量具有坚强的保证。三是硬件设施现代齐全，场地宽裕，配有教室6间，260个座位的多功能报告厅1间，学员活动室3间，会议室、接待室、教员休息室一应配套齐全。设备采用现代功能、电子操作和多媒体的现代教学设备，为增强学习效果提供了更优质的服务平台。</w:t>
      </w:r>
    </w:p>
    <w:p>
      <w:pPr>
        <w:pStyle w:val="12"/>
        <w:ind w:firstLine="480" w:firstLineChars="200"/>
        <w:rPr>
          <w:rFonts w:hint="eastAsia" w:ascii="宋体" w:hAnsi="宋体"/>
          <w:sz w:val="24"/>
        </w:rPr>
      </w:pPr>
      <w:r>
        <w:rPr>
          <w:rFonts w:hint="eastAsia" w:ascii="宋体" w:hAnsi="宋体"/>
          <w:sz w:val="24"/>
        </w:rPr>
        <w:t>本单位系参照公务员管理的全额拨款事业单位, 人员情况：编制数15人，在职在编教职工12人，雇员3人，退休人员15人。</w:t>
      </w:r>
    </w:p>
    <w:p>
      <w:pPr>
        <w:pStyle w:val="10"/>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二、部门整体预算支出情况</w:t>
      </w:r>
    </w:p>
    <w:p>
      <w:pPr>
        <w:pStyle w:val="10"/>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spacing w:line="520" w:lineRule="exact"/>
        <w:ind w:firstLine="480" w:firstLineChars="200"/>
        <w:jc w:val="left"/>
        <w:rPr>
          <w:rFonts w:ascii="仿宋_GB2312" w:hAnsi="仿宋_GB2312" w:eastAsia="仿宋_GB2312" w:cs="仿宋_GB2312"/>
          <w:b/>
          <w:bCs/>
          <w:sz w:val="32"/>
          <w:szCs w:val="32"/>
        </w:rPr>
      </w:pPr>
      <w:r>
        <w:rPr>
          <w:rFonts w:hint="eastAsia" w:ascii="宋体" w:hAnsi="宋体"/>
          <w:sz w:val="24"/>
        </w:rPr>
        <w:t>基本支出是指为保障单位机构运转、完成日常工作任务而发生的各项支出，包括基本工资、津贴补贴等人员经费以及办公费、印刷费、办公用品购置等日常公用经费。2020年基本支出年初预算是513.78万元，实际开支万元，其中：人员经费年初预算为472.37万元，实际开支484.91万元，因社保缴费增加和调资，年中追加人员经费12.54万元，日常公用经费年初预算为41.41万元，实际开支</w:t>
      </w:r>
      <w:r>
        <w:rPr>
          <w:rFonts w:hint="eastAsia"/>
          <w:kern w:val="0"/>
          <w:sz w:val="20"/>
          <w:szCs w:val="20"/>
        </w:rPr>
        <w:t>39.15</w:t>
      </w:r>
      <w:r>
        <w:rPr>
          <w:rFonts w:hint="eastAsia" w:ascii="宋体" w:hAnsi="宋体"/>
          <w:sz w:val="24"/>
        </w:rPr>
        <w:t>万元， “三公”经费支出情况：公务接待费：预算经费0.3万元，实际开0元，比预算减少了100%，本单位没有公务用车 。</w:t>
      </w:r>
    </w:p>
    <w:p>
      <w:pPr>
        <w:widowControl/>
        <w:spacing w:line="520" w:lineRule="exact"/>
        <w:ind w:firstLine="482" w:firstLineChars="1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pStyle w:val="10"/>
        <w:widowControl/>
        <w:spacing w:line="520" w:lineRule="exact"/>
        <w:ind w:left="640" w:firstLine="0" w:firstLineChars="0"/>
        <w:rPr>
          <w:rFonts w:ascii="仿宋_GB2312" w:hAnsi="仿宋_GB2312" w:eastAsia="仿宋_GB2312" w:cs="仿宋_GB2312"/>
          <w:b/>
          <w:bCs/>
          <w:sz w:val="32"/>
          <w:szCs w:val="32"/>
        </w:rPr>
      </w:pPr>
      <w:r>
        <w:rPr>
          <w:rFonts w:eastAsia="仿宋_GB2312"/>
          <w:sz w:val="32"/>
          <w:szCs w:val="32"/>
        </w:rPr>
        <w:t>1.项目资金安排落实、总投入等情况分析</w:t>
      </w:r>
    </w:p>
    <w:p>
      <w:pPr>
        <w:spacing w:line="640" w:lineRule="exact"/>
        <w:ind w:firstLine="480" w:firstLineChars="200"/>
        <w:rPr>
          <w:rFonts w:hint="eastAsia" w:ascii="宋体" w:hAnsi="宋体"/>
          <w:sz w:val="24"/>
        </w:rPr>
      </w:pPr>
      <w:r>
        <w:rPr>
          <w:rFonts w:hint="eastAsia" w:ascii="宋体" w:hAnsi="宋体"/>
          <w:sz w:val="24"/>
        </w:rPr>
        <w:t>2020年项目资金年初预算185万元，干教培训专项150万元，</w:t>
      </w:r>
      <w:r>
        <w:rPr>
          <w:rFonts w:ascii="宋体" w:hAnsi="宋体"/>
          <w:sz w:val="24"/>
        </w:rPr>
        <w:t>运行维护专项</w:t>
      </w:r>
      <w:r>
        <w:rPr>
          <w:rFonts w:hint="eastAsia" w:ascii="宋体" w:hAnsi="宋体"/>
          <w:sz w:val="24"/>
        </w:rPr>
        <w:t>35万，其中：一是师资培训经费10万元，主要用于教师高（名）校培训、学习、进修以及知识更新；二是理论研究费10万元，主要用于教师根据市情、区情积极开展调查研究和完成省市社科联社课题，以及支付组织召开课题研讨费用、科研成果奖励等；三是设备更新维修维护费4万元，主要用于教室课桌椅以及设施、设备维修维护费用；四是图书资料费2万元，根据省、市委党校要求和教学、科研工作的需要，每年需更新和添置部分新的书籍；五是上级业务指导等其他10万元，根据中央及省、市委文件要求，各级财政需安排一定的资金用于党校业务指导，组织聘请专家、教授及名师在教学、科研方面进行评估、论证和现场指导。总的投入一是符合文件要求；二是干部教育培训的重要保障。</w:t>
      </w:r>
    </w:p>
    <w:p>
      <w:pPr>
        <w:spacing w:line="640" w:lineRule="exact"/>
        <w:rPr>
          <w:rFonts w:hint="eastAsia" w:eastAsia="仿宋_GB2312"/>
          <w:sz w:val="32"/>
          <w:szCs w:val="32"/>
        </w:rPr>
      </w:pPr>
      <w:r>
        <w:rPr>
          <w:rFonts w:eastAsia="仿宋_GB2312"/>
          <w:sz w:val="32"/>
          <w:szCs w:val="32"/>
        </w:rPr>
        <w:t>2.项目资金实际使用情况分析。</w:t>
      </w:r>
    </w:p>
    <w:p>
      <w:pPr>
        <w:spacing w:line="640" w:lineRule="exact"/>
        <w:ind w:firstLine="480" w:firstLineChars="200"/>
        <w:rPr>
          <w:rFonts w:hint="eastAsia" w:ascii="宋体" w:hAnsi="宋体"/>
          <w:sz w:val="24"/>
        </w:rPr>
      </w:pPr>
      <w:r>
        <w:rPr>
          <w:rFonts w:hint="eastAsia" w:ascii="宋体" w:hAnsi="宋体"/>
          <w:sz w:val="24"/>
        </w:rPr>
        <w:t>2020年财政安排专项资金185万元，实际开支85.24万元，结余了99.76万元，其中节余的主要原因：因为疫情，有几个培训班没办以及培训人数减少，干教培训专项结余94.1万元。</w:t>
      </w:r>
    </w:p>
    <w:p>
      <w:pPr>
        <w:spacing w:line="640" w:lineRule="exact"/>
        <w:ind w:firstLine="640" w:firstLineChars="200"/>
        <w:rPr>
          <w:rFonts w:hint="eastAsia" w:eastAsia="仿宋_GB2312"/>
          <w:sz w:val="32"/>
          <w:szCs w:val="32"/>
        </w:rPr>
      </w:pPr>
      <w:r>
        <w:rPr>
          <w:rFonts w:eastAsia="仿宋_GB2312"/>
          <w:sz w:val="32"/>
          <w:szCs w:val="32"/>
        </w:rPr>
        <w:t>3.项目资金管理情况分析，主要包括管理制度、办法的制订及执行情况。</w:t>
      </w:r>
    </w:p>
    <w:p>
      <w:pPr>
        <w:spacing w:line="640" w:lineRule="exact"/>
        <w:ind w:firstLine="480" w:firstLineChars="200"/>
        <w:rPr>
          <w:rFonts w:hint="eastAsia" w:ascii="宋体" w:hAnsi="宋体"/>
          <w:sz w:val="24"/>
        </w:rPr>
      </w:pPr>
      <w:r>
        <w:rPr>
          <w:rFonts w:hint="eastAsia" w:ascii="宋体" w:hAnsi="宋体"/>
          <w:sz w:val="24"/>
        </w:rPr>
        <w:t>一是管理严格：严格执行财政预算，对没有预算或有预算超标准、超范围，不合法、不合理的内容不予列支。</w:t>
      </w:r>
    </w:p>
    <w:p>
      <w:pPr>
        <w:spacing w:line="640" w:lineRule="exact"/>
        <w:ind w:firstLine="480" w:firstLineChars="200"/>
        <w:rPr>
          <w:rFonts w:hint="eastAsia" w:ascii="宋体" w:hAnsi="宋体"/>
          <w:sz w:val="24"/>
        </w:rPr>
      </w:pPr>
      <w:r>
        <w:rPr>
          <w:rFonts w:hint="eastAsia" w:ascii="宋体" w:hAnsi="宋体"/>
          <w:sz w:val="24"/>
        </w:rPr>
        <w:t>二是使用科学。做到把专项资金每一分钱都用在刀刃上，充分发挥专项资金使用效果。</w:t>
      </w:r>
    </w:p>
    <w:p>
      <w:pPr>
        <w:spacing w:line="640" w:lineRule="exact"/>
        <w:ind w:firstLine="480" w:firstLineChars="200"/>
        <w:rPr>
          <w:rFonts w:hint="eastAsia" w:ascii="宋体" w:hAnsi="宋体"/>
          <w:sz w:val="24"/>
        </w:rPr>
      </w:pPr>
      <w:r>
        <w:rPr>
          <w:rFonts w:hint="eastAsia" w:ascii="宋体" w:hAnsi="宋体"/>
          <w:sz w:val="24"/>
        </w:rPr>
        <w:t>三是执行到位：能及时组织对专项资金投入、清理、支付、结算，不留尾巴，有效地控制了专项资金投入使用，没有出现乱开支、超标准的现象。</w:t>
      </w:r>
    </w:p>
    <w:p>
      <w:pPr>
        <w:ind w:firstLine="600" w:firstLineChars="250"/>
        <w:rPr>
          <w:rFonts w:hint="eastAsia" w:ascii="宋体" w:hAnsi="宋体"/>
          <w:sz w:val="24"/>
        </w:rPr>
      </w:pPr>
    </w:p>
    <w:p>
      <w:pPr>
        <w:widowControl/>
        <w:spacing w:line="520" w:lineRule="exact"/>
        <w:ind w:firstLine="482" w:firstLineChars="15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三、部门整体支出绩效情况</w:t>
      </w:r>
    </w:p>
    <w:p>
      <w:pPr>
        <w:spacing w:line="640" w:lineRule="exact"/>
        <w:ind w:left="420" w:leftChars="200" w:firstLine="241" w:firstLineChars="100"/>
        <w:rPr>
          <w:rFonts w:hint="eastAsia" w:ascii="宋体" w:hAnsi="宋体"/>
          <w:b/>
          <w:sz w:val="24"/>
        </w:rPr>
      </w:pPr>
      <w:r>
        <w:rPr>
          <w:rFonts w:hint="eastAsia" w:ascii="宋体" w:hAnsi="宋体"/>
          <w:b/>
          <w:sz w:val="24"/>
        </w:rPr>
        <w:t>1、经济情况分析</w:t>
      </w:r>
    </w:p>
    <w:p>
      <w:pPr>
        <w:spacing w:line="640" w:lineRule="exact"/>
        <w:ind w:firstLine="480" w:firstLineChars="200"/>
        <w:rPr>
          <w:rFonts w:hint="eastAsia" w:ascii="宋体" w:hAnsi="宋体"/>
          <w:sz w:val="24"/>
        </w:rPr>
      </w:pPr>
      <w:r>
        <w:rPr>
          <w:rFonts w:hint="eastAsia" w:ascii="宋体" w:hAnsi="宋体"/>
          <w:sz w:val="24"/>
        </w:rPr>
        <w:t>一是从单位预算指标及支出情况来看，2020年党校人员经费预算收入472.37万元，实际支出484.91万元，比预算增付12.54万元，增付率2.7%，公用经费预算收入41.41万元，实际开支</w:t>
      </w:r>
      <w:r>
        <w:rPr>
          <w:rFonts w:hint="eastAsia"/>
          <w:kern w:val="0"/>
          <w:sz w:val="20"/>
          <w:szCs w:val="20"/>
        </w:rPr>
        <w:t>39.15</w:t>
      </w:r>
      <w:r>
        <w:rPr>
          <w:rFonts w:hint="eastAsia" w:ascii="宋体" w:hAnsi="宋体"/>
          <w:sz w:val="24"/>
        </w:rPr>
        <w:t>万元，比预算节余2.26万元，节余率5%，专项经费预算收入185万元，实际开支85.24万元，比预算节余99.76万元，节余54%，二是从控制的比例情况来看，人员经费超预算，社保缴费增加和人员增资所致，公用经费的减少是由于办公经费及接待费的压减带来了节余，上述数据分析表明，“三公经费”的控制、培训经费的节余、专项经费的减少，充分体现了作风建设所取得的成效，私车公用、不讲排场、杜绝奢侈浪费，已成为党员干部一种习惯和自觉行动。</w:t>
      </w:r>
    </w:p>
    <w:p>
      <w:pPr>
        <w:spacing w:line="640" w:lineRule="exact"/>
        <w:ind w:firstLine="482" w:firstLineChars="200"/>
        <w:rPr>
          <w:rFonts w:hint="eastAsia" w:ascii="宋体" w:hAnsi="宋体"/>
          <w:b/>
          <w:sz w:val="24"/>
        </w:rPr>
      </w:pPr>
      <w:r>
        <w:rPr>
          <w:rFonts w:hint="eastAsia" w:ascii="宋体" w:hAnsi="宋体"/>
          <w:b/>
          <w:sz w:val="24"/>
        </w:rPr>
        <w:t>2、效率性情况分析</w:t>
      </w:r>
    </w:p>
    <w:p>
      <w:pPr>
        <w:spacing w:line="640" w:lineRule="exact"/>
        <w:ind w:firstLine="480" w:firstLineChars="200"/>
        <w:rPr>
          <w:rFonts w:hint="eastAsia" w:ascii="宋体" w:hAnsi="宋体"/>
          <w:sz w:val="24"/>
        </w:rPr>
      </w:pPr>
      <w:r>
        <w:rPr>
          <w:rFonts w:hint="eastAsia" w:ascii="宋体" w:hAnsi="宋体"/>
          <w:sz w:val="24"/>
        </w:rPr>
        <w:t>2020年，围绕习近平新时代中国特色社会主义思想主题，共举办主体班11期，培训人数2140人次，承办联合班137期，培训人数10200人次；取得了干部学有所成、社会高度认可的好效果。</w:t>
      </w:r>
    </w:p>
    <w:p>
      <w:pPr>
        <w:spacing w:line="660" w:lineRule="exact"/>
        <w:ind w:firstLine="600" w:firstLineChars="250"/>
        <w:rPr>
          <w:rFonts w:ascii="宋体" w:hAnsi="宋体"/>
          <w:sz w:val="24"/>
        </w:rPr>
      </w:pPr>
      <w:r>
        <w:rPr>
          <w:rFonts w:hint="eastAsia" w:ascii="宋体" w:hAnsi="宋体"/>
          <w:sz w:val="24"/>
        </w:rPr>
        <w:t>一是狠抓师资队伍建设。严格落实党校师资队伍建设五年计划，与省市党校名师大咖开展师徒结对。我校教师杨维凭借扎实的理论功底和良好的专业素养，夺得了长沙市党校(行政学院)系统第十四次教学比赛一等奖</w:t>
      </w:r>
    </w:p>
    <w:p>
      <w:pPr>
        <w:spacing w:line="660" w:lineRule="exact"/>
        <w:ind w:firstLine="480" w:firstLineChars="200"/>
        <w:rPr>
          <w:rFonts w:ascii="宋体" w:hAnsi="宋体"/>
          <w:sz w:val="24"/>
        </w:rPr>
      </w:pPr>
      <w:r>
        <w:rPr>
          <w:rFonts w:hint="eastAsia" w:ascii="宋体" w:hAnsi="宋体"/>
          <w:sz w:val="24"/>
        </w:rPr>
        <w:t>二是推进科研机制创新。2020年制订《科研工作规划》，年中举办3次科研论坛、组织教师外出调研、将科研工作纳入教师岗位年度考核，2020年我校科研获得全市党校（行政学院）系统主题征文一等奖一项，全省二等奖以上三项。</w:t>
      </w:r>
    </w:p>
    <w:p>
      <w:pPr>
        <w:spacing w:line="660" w:lineRule="exact"/>
        <w:ind w:firstLine="480" w:firstLineChars="200"/>
        <w:rPr>
          <w:rFonts w:ascii="宋体" w:hAnsi="宋体"/>
          <w:sz w:val="24"/>
        </w:rPr>
      </w:pPr>
      <w:r>
        <w:rPr>
          <w:rFonts w:hint="eastAsia" w:ascii="宋体" w:hAnsi="宋体"/>
          <w:sz w:val="24"/>
        </w:rPr>
        <w:t>三是夯实基层干部教育。在全区建立基层党校，每年区委党校定期在街（镇）党校举办入党积极分子培训示范班。涌现出“洞井街道工委党校”“高桥商圈党校”“东塘街道讲习所”等镇街教育品牌。为实现基层党员教育全覆盖夯实了基础。</w:t>
      </w:r>
    </w:p>
    <w:p>
      <w:pPr>
        <w:spacing w:line="640" w:lineRule="exact"/>
        <w:ind w:firstLine="480" w:firstLineChars="200"/>
        <w:rPr>
          <w:rFonts w:ascii="宋体" w:hAnsi="宋体"/>
          <w:sz w:val="24"/>
        </w:rPr>
      </w:pPr>
      <w:r>
        <w:rPr>
          <w:rFonts w:hint="eastAsia" w:ascii="宋体" w:hAnsi="宋体"/>
          <w:sz w:val="24"/>
        </w:rPr>
        <w:t>四是打造特色党建品牌。2020年区委党校支部在做好五化支部建设的基础上，充分利用党校的教学科研资源，创造性的进行了四型支部（即学习型支部、智库型支部、调研型支部、教育型支部）建设，实现了支部党课有质量，党建科研有成果。</w:t>
      </w:r>
    </w:p>
    <w:p>
      <w:pPr>
        <w:spacing w:line="640" w:lineRule="exact"/>
        <w:ind w:left="420" w:leftChars="200" w:firstLine="241" w:firstLineChars="100"/>
        <w:rPr>
          <w:rFonts w:hint="eastAsia" w:ascii="宋体" w:hAnsi="宋体"/>
          <w:b/>
          <w:sz w:val="24"/>
        </w:rPr>
      </w:pPr>
      <w:r>
        <w:rPr>
          <w:rFonts w:hint="eastAsia" w:ascii="宋体" w:hAnsi="宋体"/>
          <w:b/>
          <w:sz w:val="24"/>
        </w:rPr>
        <w:t>3、有效性情况分析</w:t>
      </w:r>
    </w:p>
    <w:p>
      <w:pPr>
        <w:spacing w:line="640" w:lineRule="exact"/>
        <w:ind w:firstLine="480" w:firstLineChars="200"/>
        <w:rPr>
          <w:rFonts w:hint="eastAsia" w:ascii="宋体" w:hAnsi="宋体"/>
          <w:sz w:val="24"/>
        </w:rPr>
      </w:pPr>
      <w:r>
        <w:rPr>
          <w:rFonts w:hint="eastAsia" w:ascii="宋体" w:hAnsi="宋体"/>
          <w:sz w:val="24"/>
        </w:rPr>
        <w:t>一是办公经费控制。本着少花钱办大事，不花钱也能办事的原则，对可开支可不开支的不予列支，做到修旧利废，厉行节约；二是严格控制“三公经费”。把维修和油耗压到最低限度，接待费对可接待可不接待的一律取消，非接待不可的，也一律从简。这样既遵守了规定，又节约了经费；科研工作投入10万元，效果显著，从科研成果来看，产生了很好的社会效益和反响；四是干部教育培训，节约资金94.1万元，但效果同样是辉煌的，大大的增强了党员干部的党性修养，开拓了视野，更新了知识，提高了水平，增强了才干，产生了极大的政治和社会效应。</w:t>
      </w:r>
    </w:p>
    <w:p>
      <w:pPr>
        <w:spacing w:line="640" w:lineRule="exact"/>
        <w:ind w:firstLine="482" w:firstLineChars="200"/>
        <w:rPr>
          <w:rFonts w:hint="eastAsia" w:ascii="宋体" w:hAnsi="宋体"/>
          <w:b/>
          <w:sz w:val="24"/>
        </w:rPr>
      </w:pPr>
      <w:r>
        <w:rPr>
          <w:rFonts w:hint="eastAsia" w:ascii="宋体" w:hAnsi="宋体"/>
          <w:b/>
          <w:sz w:val="24"/>
        </w:rPr>
        <w:t>4、可持续性情况分析</w:t>
      </w:r>
    </w:p>
    <w:p>
      <w:pPr>
        <w:spacing w:line="640" w:lineRule="exact"/>
        <w:ind w:firstLine="480" w:firstLineChars="200"/>
        <w:rPr>
          <w:rFonts w:hint="eastAsia" w:ascii="宋体" w:hAnsi="宋体"/>
          <w:sz w:val="24"/>
        </w:rPr>
      </w:pPr>
      <w:r>
        <w:rPr>
          <w:rFonts w:hint="eastAsia" w:ascii="宋体" w:hAnsi="宋体"/>
          <w:sz w:val="24"/>
        </w:rPr>
        <w:t>一是由于后续政策的调整和变化，预算经费也会发生变化。津补贴规范都会带来不确定的因素等等；二是人员的变动也会给支出完成后带来变化，人员机构和安排也随时可能发生变更，从不同的角度都会对项目执行带来不同的影响，但总体不会有较大的改变。</w:t>
      </w:r>
    </w:p>
    <w:p>
      <w:pPr>
        <w:spacing w:line="640" w:lineRule="exact"/>
        <w:ind w:firstLine="361" w:firstLineChars="150"/>
        <w:rPr>
          <w:rFonts w:hint="eastAsia" w:ascii="宋体" w:hAnsi="宋体"/>
          <w:b/>
          <w:sz w:val="24"/>
        </w:rPr>
      </w:pPr>
      <w:r>
        <w:rPr>
          <w:rFonts w:hint="eastAsia" w:ascii="宋体" w:hAnsi="宋体"/>
          <w:b/>
          <w:sz w:val="24"/>
        </w:rPr>
        <w:t>六、存在的主要问题</w:t>
      </w:r>
    </w:p>
    <w:p>
      <w:pPr>
        <w:spacing w:line="640" w:lineRule="exact"/>
        <w:ind w:firstLine="480" w:firstLineChars="200"/>
        <w:rPr>
          <w:rFonts w:hint="eastAsia" w:ascii="宋体" w:hAnsi="宋体"/>
          <w:sz w:val="24"/>
        </w:rPr>
      </w:pPr>
      <w:r>
        <w:rPr>
          <w:rFonts w:hint="eastAsia" w:ascii="宋体" w:hAnsi="宋体"/>
          <w:sz w:val="24"/>
        </w:rPr>
        <w:t>1、要进一步提高资金使用的预测能力，加强计划性。</w:t>
      </w:r>
    </w:p>
    <w:p>
      <w:pPr>
        <w:spacing w:line="640" w:lineRule="exact"/>
        <w:ind w:firstLine="480" w:firstLineChars="200"/>
        <w:rPr>
          <w:rFonts w:hint="eastAsia" w:ascii="宋体" w:hAnsi="宋体"/>
          <w:sz w:val="24"/>
        </w:rPr>
      </w:pPr>
      <w:r>
        <w:rPr>
          <w:rFonts w:hint="eastAsia" w:ascii="宋体" w:hAnsi="宋体"/>
          <w:sz w:val="24"/>
        </w:rPr>
        <w:t>2、要进一步提高资金使用的执行力，做到全面落实到位。</w:t>
      </w:r>
    </w:p>
    <w:p>
      <w:pPr>
        <w:spacing w:line="640" w:lineRule="exact"/>
        <w:ind w:firstLine="480" w:firstLineChars="200"/>
        <w:rPr>
          <w:rFonts w:hint="eastAsia" w:ascii="宋体" w:hAnsi="宋体"/>
          <w:sz w:val="24"/>
        </w:rPr>
      </w:pPr>
      <w:r>
        <w:rPr>
          <w:rFonts w:hint="eastAsia" w:ascii="宋体" w:hAnsi="宋体"/>
          <w:sz w:val="24"/>
        </w:rPr>
        <w:t>3、要进一步提高资金使用效果，充分发挥联动作用。</w:t>
      </w:r>
    </w:p>
    <w:p>
      <w:pPr>
        <w:spacing w:line="640" w:lineRule="exact"/>
        <w:ind w:firstLine="480" w:firstLineChars="200"/>
        <w:rPr>
          <w:rFonts w:hint="eastAsia" w:ascii="宋体" w:hAnsi="宋体"/>
          <w:sz w:val="24"/>
        </w:rPr>
      </w:pPr>
      <w:r>
        <w:rPr>
          <w:rFonts w:hint="eastAsia" w:ascii="宋体" w:hAnsi="宋体"/>
          <w:sz w:val="24"/>
        </w:rPr>
        <w:t>4、要进一步优化管理环境，做到协调统筹。</w:t>
      </w:r>
    </w:p>
    <w:p>
      <w:pPr>
        <w:spacing w:line="640" w:lineRule="exact"/>
        <w:ind w:firstLine="361" w:firstLineChars="150"/>
        <w:rPr>
          <w:rFonts w:hint="eastAsia" w:ascii="宋体" w:hAnsi="宋体"/>
          <w:b/>
          <w:sz w:val="24"/>
        </w:rPr>
      </w:pPr>
      <w:r>
        <w:rPr>
          <w:rFonts w:hint="eastAsia" w:ascii="宋体" w:hAnsi="宋体"/>
          <w:b/>
          <w:sz w:val="24"/>
        </w:rPr>
        <w:t>七、改进措施和有关建议</w:t>
      </w:r>
    </w:p>
    <w:p>
      <w:pPr>
        <w:spacing w:line="640" w:lineRule="exact"/>
        <w:ind w:firstLine="480" w:firstLineChars="200"/>
        <w:rPr>
          <w:rFonts w:hint="eastAsia" w:ascii="宋体" w:hAnsi="宋体"/>
          <w:sz w:val="24"/>
        </w:rPr>
      </w:pPr>
      <w:r>
        <w:rPr>
          <w:rFonts w:hint="eastAsia" w:ascii="宋体" w:hAnsi="宋体"/>
          <w:sz w:val="24"/>
        </w:rPr>
        <w:t>1、加强调查研究，认真总结经验。科学计划，合理安排。</w:t>
      </w:r>
    </w:p>
    <w:p>
      <w:pPr>
        <w:spacing w:line="640" w:lineRule="exact"/>
        <w:ind w:firstLine="480" w:firstLineChars="200"/>
        <w:rPr>
          <w:rFonts w:hint="eastAsia" w:ascii="宋体" w:hAnsi="宋体"/>
          <w:sz w:val="24"/>
        </w:rPr>
      </w:pPr>
      <w:r>
        <w:rPr>
          <w:rFonts w:hint="eastAsia" w:ascii="宋体" w:hAnsi="宋体"/>
          <w:sz w:val="24"/>
        </w:rPr>
        <w:t>2、严格预算管理，对无预算或擅自提高预算标准财务一律不予列支。</w:t>
      </w:r>
    </w:p>
    <w:p>
      <w:pPr>
        <w:spacing w:line="640" w:lineRule="exact"/>
        <w:ind w:firstLine="480" w:firstLineChars="200"/>
        <w:rPr>
          <w:rFonts w:hint="eastAsia" w:ascii="宋体" w:hAnsi="宋体"/>
          <w:sz w:val="24"/>
        </w:rPr>
      </w:pPr>
      <w:r>
        <w:rPr>
          <w:rFonts w:hint="eastAsia" w:ascii="宋体" w:hAnsi="宋体"/>
          <w:sz w:val="24"/>
        </w:rPr>
        <w:t>3、进一步加强财务管理，规范管理行为，严格执行《会计法》。</w:t>
      </w:r>
    </w:p>
    <w:p>
      <w:pPr>
        <w:spacing w:line="640" w:lineRule="exact"/>
        <w:ind w:firstLine="480" w:firstLineChars="200"/>
        <w:rPr>
          <w:rFonts w:hint="eastAsia" w:ascii="宋体" w:hAnsi="宋体"/>
          <w:sz w:val="24"/>
        </w:rPr>
      </w:pPr>
      <w:r>
        <w:rPr>
          <w:rFonts w:hint="eastAsia" w:ascii="宋体" w:hAnsi="宋体"/>
          <w:sz w:val="24"/>
        </w:rPr>
        <w:t>4、进一步加强内控管理。严格内部监督。</w:t>
      </w:r>
    </w:p>
    <w:p>
      <w:pPr>
        <w:spacing w:line="640" w:lineRule="exact"/>
        <w:ind w:firstLine="480" w:firstLineChars="200"/>
        <w:rPr>
          <w:rFonts w:hint="eastAsia" w:ascii="宋体" w:hAnsi="宋体"/>
          <w:sz w:val="24"/>
        </w:rPr>
      </w:pPr>
      <w:r>
        <w:rPr>
          <w:rFonts w:hint="eastAsia" w:ascii="宋体" w:hAnsi="宋体"/>
          <w:sz w:val="24"/>
        </w:rPr>
        <w:t>5、严格财务报告制。财经管理人员要根据每月会计报表，对当月财务收支情况进行分析，定期向主管领导和校委会作出汇报，特别是对“四费”支出情况每季度进行张榜公布。</w:t>
      </w:r>
    </w:p>
    <w:p>
      <w:pPr>
        <w:spacing w:line="640" w:lineRule="exact"/>
        <w:ind w:firstLine="480" w:firstLineChars="200"/>
        <w:rPr>
          <w:rFonts w:hint="eastAsia" w:ascii="宋体" w:hAnsi="宋体"/>
          <w:sz w:val="24"/>
        </w:rPr>
      </w:pPr>
      <w:r>
        <w:rPr>
          <w:rFonts w:hint="eastAsia" w:ascii="宋体" w:hAnsi="宋体"/>
          <w:sz w:val="24"/>
        </w:rPr>
        <w:t>6、进一步加强资产管理。提高国有资产管理水平，切实让资产在日常工作、干部教育培训中发挥重要作用和效果。</w:t>
      </w:r>
    </w:p>
    <w:p>
      <w:pPr>
        <w:spacing w:line="640" w:lineRule="exact"/>
        <w:ind w:firstLine="480" w:firstLineChars="200"/>
        <w:rPr>
          <w:rFonts w:hint="eastAsia" w:ascii="宋体" w:hAnsi="宋体"/>
          <w:sz w:val="24"/>
        </w:rPr>
      </w:pPr>
      <w:r>
        <w:rPr>
          <w:rFonts w:hint="eastAsia" w:ascii="宋体" w:hAnsi="宋体"/>
          <w:sz w:val="24"/>
        </w:rPr>
        <w:t>7、严格物资采购，做好物资验收、登记，对报废的固定资产，资产管理员要根据有关规定，搞好申报审批及处置工作，保证账账、账物相符。</w:t>
      </w:r>
    </w:p>
    <w:p>
      <w:pPr>
        <w:spacing w:line="640" w:lineRule="exact"/>
        <w:ind w:firstLine="480" w:firstLineChars="200"/>
        <w:rPr>
          <w:rFonts w:hint="eastAsia" w:ascii="宋体" w:hAnsi="宋体"/>
          <w:sz w:val="24"/>
        </w:rPr>
      </w:pPr>
      <w:r>
        <w:rPr>
          <w:rFonts w:hint="eastAsia" w:ascii="宋体" w:hAnsi="宋体"/>
          <w:sz w:val="24"/>
        </w:rPr>
        <w:t>8、开拓创新、与时俱进。理清思路、科学安排，把财务管理工作提高到一个新的水平。</w:t>
      </w:r>
    </w:p>
    <w:p>
      <w:pPr>
        <w:spacing w:line="640" w:lineRule="exact"/>
        <w:ind w:firstLine="480" w:firstLineChars="200"/>
        <w:rPr>
          <w:rFonts w:hint="eastAsia" w:ascii="宋体" w:hAnsi="宋体"/>
          <w:sz w:val="24"/>
        </w:rPr>
      </w:pPr>
      <w:r>
        <w:rPr>
          <w:rFonts w:hint="eastAsia" w:ascii="宋体" w:hAnsi="宋体"/>
          <w:sz w:val="24"/>
        </w:rPr>
        <w:t xml:space="preserve">                </w:t>
      </w:r>
    </w:p>
    <w:p>
      <w:pPr>
        <w:spacing w:line="640" w:lineRule="exact"/>
        <w:ind w:firstLine="4819" w:firstLineChars="2000"/>
        <w:rPr>
          <w:rFonts w:hint="eastAsia" w:ascii="宋体" w:hAnsi="宋体"/>
          <w:b/>
          <w:sz w:val="24"/>
        </w:rPr>
      </w:pPr>
      <w:r>
        <w:rPr>
          <w:rFonts w:hint="eastAsia" w:ascii="宋体" w:hAnsi="宋体"/>
          <w:b/>
          <w:sz w:val="24"/>
        </w:rPr>
        <w:t xml:space="preserve">  中共长沙市雨花区委党校</w:t>
      </w:r>
    </w:p>
    <w:p>
      <w:pPr>
        <w:rPr>
          <w:rFonts w:hint="eastAsia" w:ascii="黑体" w:hAnsi="宋体" w:eastAsia="黑体" w:cs="宋体"/>
          <w:kern w:val="0"/>
          <w:sz w:val="32"/>
          <w:szCs w:val="32"/>
        </w:rPr>
      </w:pPr>
      <w:r>
        <w:rPr>
          <w:rFonts w:hint="eastAsia" w:ascii="宋体" w:hAnsi="宋体"/>
          <w:b/>
          <w:sz w:val="24"/>
        </w:rPr>
        <w:t xml:space="preserve">                                              2021年3月10日</w:t>
      </w:r>
    </w:p>
    <w:p/>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hint="eastAsia" w:eastAsia="黑体"/>
          <w:sz w:val="32"/>
          <w:szCs w:val="32"/>
        </w:rPr>
      </w:pPr>
    </w:p>
    <w:p>
      <w:pPr>
        <w:spacing w:line="600" w:lineRule="exact"/>
        <w:rPr>
          <w:rFonts w:eastAsia="黑体"/>
          <w:sz w:val="32"/>
          <w:szCs w:val="32"/>
        </w:rPr>
      </w:pPr>
      <w:r>
        <w:rPr>
          <w:rFonts w:eastAsia="黑体"/>
          <w:sz w:val="32"/>
          <w:szCs w:val="32"/>
        </w:rPr>
        <w:t>附件4</w:t>
      </w:r>
    </w:p>
    <w:p>
      <w:pPr>
        <w:widowControl/>
        <w:spacing w:line="600" w:lineRule="exact"/>
        <w:jc w:val="center"/>
        <w:rPr>
          <w:rFonts w:eastAsia="方正小标宋简体"/>
          <w:kern w:val="0"/>
          <w:sz w:val="44"/>
          <w:szCs w:val="44"/>
        </w:rPr>
      </w:pPr>
      <w:r>
        <w:rPr>
          <w:rFonts w:eastAsia="方正小标宋简体"/>
          <w:kern w:val="0"/>
          <w:sz w:val="44"/>
          <w:szCs w:val="44"/>
        </w:rPr>
        <w:t>项目支出绩效自评表</w:t>
      </w:r>
    </w:p>
    <w:p>
      <w:pPr>
        <w:widowControl/>
        <w:spacing w:line="300" w:lineRule="exact"/>
        <w:ind w:left="91"/>
        <w:jc w:val="center"/>
        <w:rPr>
          <w:rFonts w:eastAsia="方正小标宋简体"/>
          <w:kern w:val="0"/>
          <w:sz w:val="44"/>
          <w:szCs w:val="44"/>
        </w:rPr>
      </w:pPr>
    </w:p>
    <w:tbl>
      <w:tblPr>
        <w:tblStyle w:val="4"/>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762"/>
        <w:gridCol w:w="854"/>
        <w:gridCol w:w="461"/>
        <w:gridCol w:w="2850"/>
        <w:gridCol w:w="2634"/>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Header/>
          <w:jc w:val="center"/>
        </w:trPr>
        <w:tc>
          <w:tcPr>
            <w:tcW w:w="419"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一级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409"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二级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459"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248"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3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415"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516"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1" w:hRule="atLeast"/>
          <w:jc w:val="center"/>
        </w:trPr>
        <w:tc>
          <w:tcPr>
            <w:tcW w:w="419" w:type="pct"/>
            <w:vMerge w:val="restart"/>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eastAsia="zh-CN"/>
              </w:rPr>
            </w:pPr>
            <w:r>
              <w:rPr>
                <w:color w:val="000000"/>
                <w:kern w:val="0"/>
                <w:sz w:val="20"/>
                <w:szCs w:val="20"/>
              </w:rPr>
              <w:t>项目</w:t>
            </w:r>
          </w:p>
          <w:p>
            <w:pPr>
              <w:widowControl/>
              <w:spacing w:line="280" w:lineRule="exact"/>
              <w:jc w:val="center"/>
              <w:textAlignment w:val="center"/>
              <w:rPr>
                <w:rFonts w:hint="eastAsia" w:eastAsia="宋体"/>
                <w:color w:val="000000"/>
                <w:kern w:val="0"/>
                <w:sz w:val="20"/>
                <w:szCs w:val="20"/>
                <w:lang w:eastAsia="zh-CN"/>
              </w:rPr>
            </w:pPr>
            <w:r>
              <w:rPr>
                <w:color w:val="000000"/>
                <w:kern w:val="0"/>
                <w:sz w:val="20"/>
                <w:szCs w:val="20"/>
              </w:rPr>
              <w:t>决策</w:t>
            </w:r>
          </w:p>
          <w:p>
            <w:pPr>
              <w:widowControl/>
              <w:spacing w:line="280" w:lineRule="exact"/>
              <w:jc w:val="center"/>
              <w:textAlignment w:val="center"/>
              <w:rPr>
                <w:color w:val="000000"/>
                <w:sz w:val="20"/>
                <w:szCs w:val="20"/>
              </w:rPr>
            </w:pPr>
            <w:r>
              <w:rPr>
                <w:color w:val="000000"/>
                <w:kern w:val="0"/>
                <w:sz w:val="20"/>
                <w:szCs w:val="20"/>
              </w:rPr>
              <w:t>（16分）</w:t>
            </w:r>
          </w:p>
        </w:tc>
        <w:tc>
          <w:tcPr>
            <w:tcW w:w="409" w:type="pct"/>
            <w:vMerge w:val="restar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项目</w:t>
            </w:r>
          </w:p>
          <w:p>
            <w:pPr>
              <w:widowControl/>
              <w:spacing w:line="280" w:lineRule="exact"/>
              <w:jc w:val="center"/>
              <w:textAlignment w:val="center"/>
              <w:rPr>
                <w:color w:val="000000"/>
                <w:kern w:val="0"/>
                <w:sz w:val="20"/>
                <w:szCs w:val="20"/>
              </w:rPr>
            </w:pPr>
            <w:r>
              <w:rPr>
                <w:color w:val="000000"/>
                <w:kern w:val="0"/>
                <w:sz w:val="20"/>
                <w:szCs w:val="20"/>
              </w:rPr>
              <w:t>立项</w:t>
            </w:r>
          </w:p>
          <w:p>
            <w:pPr>
              <w:widowControl/>
              <w:spacing w:line="280" w:lineRule="exact"/>
              <w:jc w:val="center"/>
              <w:textAlignment w:val="center"/>
              <w:rPr>
                <w:color w:val="000000"/>
                <w:sz w:val="20"/>
                <w:szCs w:val="20"/>
              </w:rPr>
            </w:pPr>
            <w:r>
              <w:rPr>
                <w:color w:val="000000"/>
                <w:kern w:val="0"/>
                <w:sz w:val="20"/>
                <w:szCs w:val="20"/>
              </w:rPr>
              <w:t>（5分）</w:t>
            </w: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立项依据充分性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31"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①项目立项是否符合国家、省市法律法规、国民经济发展规划和相关政策；</w:t>
            </w:r>
          </w:p>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②项目立项是否符合行业发展规划和政策要求；</w:t>
            </w:r>
          </w:p>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③项目立项是否与部门职责范围相符，属于部门履职所需；</w:t>
            </w:r>
          </w:p>
          <w:p>
            <w:pPr>
              <w:widowControl/>
              <w:spacing w:line="280" w:lineRule="exact"/>
              <w:textAlignment w:val="center"/>
              <w:rPr>
                <w:color w:val="000000"/>
                <w:sz w:val="20"/>
                <w:szCs w:val="20"/>
              </w:rPr>
            </w:pPr>
            <w:r>
              <w:rPr>
                <w:color w:val="000000"/>
                <w:kern w:val="0"/>
                <w:sz w:val="20"/>
                <w:szCs w:val="20"/>
              </w:rPr>
              <w:t>④项目是否属于公共财政支持范围，是否符合中央、地方事权支出责任划分原则；</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①、②、③、④各0.5分，否则，酌情扣分。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1"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立项程序规范性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3</w:t>
            </w:r>
          </w:p>
        </w:tc>
        <w:tc>
          <w:tcPr>
            <w:tcW w:w="1531"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①项目是否按照规定的程序申请设立；</w:t>
            </w:r>
          </w:p>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②审批文件、合同及材料是否符合相关要求；</w:t>
            </w:r>
          </w:p>
          <w:p>
            <w:pPr>
              <w:widowControl/>
              <w:spacing w:line="280" w:lineRule="exact"/>
              <w:textAlignment w:val="center"/>
              <w:rPr>
                <w:color w:val="000000"/>
                <w:sz w:val="20"/>
                <w:szCs w:val="20"/>
              </w:rPr>
            </w:pPr>
            <w:r>
              <w:rPr>
                <w:color w:val="000000"/>
                <w:kern w:val="0"/>
                <w:sz w:val="20"/>
                <w:szCs w:val="20"/>
              </w:rPr>
              <w:t>③事前是否已经过必要的可行性研究、专家论证、风险评估、绩效评估、集体决策。</w:t>
            </w:r>
          </w:p>
        </w:tc>
        <w:tc>
          <w:tcPr>
            <w:tcW w:w="1415"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①按照规定的程序申请设立计1分，否则，酌情扣分；</w:t>
            </w:r>
          </w:p>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②审批文件、合同及材料符合相关要求计1份，否则，酌情扣分；</w:t>
            </w:r>
          </w:p>
          <w:p>
            <w:pPr>
              <w:widowControl/>
              <w:spacing w:line="280" w:lineRule="exact"/>
              <w:textAlignment w:val="center"/>
              <w:rPr>
                <w:color w:val="000000"/>
                <w:sz w:val="20"/>
                <w:szCs w:val="20"/>
              </w:rPr>
            </w:pPr>
            <w:r>
              <w:rPr>
                <w:color w:val="000000"/>
                <w:kern w:val="0"/>
                <w:sz w:val="20"/>
                <w:szCs w:val="20"/>
              </w:rPr>
              <w:t>③事前是否已经过必要的可行性研究、专家论证、风险评估、绩效评估、集体决策计1分，否则，酌情扣分。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0"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restar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绩效</w:t>
            </w:r>
          </w:p>
          <w:p>
            <w:pPr>
              <w:widowControl/>
              <w:spacing w:line="280" w:lineRule="exact"/>
              <w:jc w:val="center"/>
              <w:textAlignment w:val="center"/>
              <w:rPr>
                <w:color w:val="000000"/>
                <w:kern w:val="0"/>
                <w:sz w:val="20"/>
                <w:szCs w:val="20"/>
              </w:rPr>
            </w:pPr>
            <w:r>
              <w:rPr>
                <w:color w:val="000000"/>
                <w:kern w:val="0"/>
                <w:sz w:val="20"/>
                <w:szCs w:val="20"/>
              </w:rPr>
              <w:t>目标</w:t>
            </w:r>
          </w:p>
          <w:p>
            <w:pPr>
              <w:widowControl/>
              <w:spacing w:line="280" w:lineRule="exact"/>
              <w:jc w:val="center"/>
              <w:textAlignment w:val="center"/>
              <w:rPr>
                <w:color w:val="000000"/>
                <w:sz w:val="20"/>
                <w:szCs w:val="20"/>
              </w:rPr>
            </w:pPr>
            <w:r>
              <w:rPr>
                <w:color w:val="000000"/>
                <w:kern w:val="0"/>
                <w:sz w:val="20"/>
                <w:szCs w:val="20"/>
              </w:rPr>
              <w:t>（4分）</w:t>
            </w: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绩效目标合理性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①项目是否有绩效目标；②项目绩效目标与实际工作内容是否具有相关性；③项目绩效目标是否全面反映项目应达到的数量、质量、时效、成本及预期效益；④是否与预算确定的项目投资额或资金量相匹配。</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①、②、③、④、各0.5分，否则，酌情扣分。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9"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绩效指标明确性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31"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①是否将项目绩效目标细化分解为具体的绩效指标；</w:t>
            </w:r>
          </w:p>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②是否通过清晰、可衡量的指标值予以体现；</w:t>
            </w:r>
          </w:p>
          <w:p>
            <w:pPr>
              <w:widowControl/>
              <w:spacing w:line="280" w:lineRule="exact"/>
              <w:textAlignment w:val="center"/>
              <w:rPr>
                <w:color w:val="000000"/>
                <w:sz w:val="20"/>
                <w:szCs w:val="20"/>
              </w:rPr>
            </w:pPr>
            <w:r>
              <w:rPr>
                <w:color w:val="000000"/>
                <w:kern w:val="0"/>
                <w:sz w:val="20"/>
                <w:szCs w:val="20"/>
              </w:rPr>
              <w:t>③是否与项目目标任务数或计划数相对应。</w:t>
            </w:r>
          </w:p>
        </w:tc>
        <w:tc>
          <w:tcPr>
            <w:tcW w:w="1415"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①项目绩效目标细化分解为具体的绩效指标得1分，否则酌情扣分，扣完为止；</w:t>
            </w:r>
          </w:p>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②通过清晰、可衡量的指标值予以体现得0.5分，否则酌情扣分，扣完为止；</w:t>
            </w:r>
          </w:p>
          <w:p>
            <w:pPr>
              <w:widowControl/>
              <w:spacing w:line="280" w:lineRule="exact"/>
              <w:textAlignment w:val="center"/>
              <w:rPr>
                <w:color w:val="000000"/>
                <w:sz w:val="20"/>
                <w:szCs w:val="20"/>
              </w:rPr>
            </w:pPr>
            <w:r>
              <w:rPr>
                <w:color w:val="000000"/>
                <w:kern w:val="0"/>
                <w:sz w:val="20"/>
                <w:szCs w:val="20"/>
              </w:rPr>
              <w:t>③与项目目标任务数或计划数相对应得0.5分，否则酌情扣分，扣完为止。</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资金</w:t>
            </w:r>
          </w:p>
          <w:p>
            <w:pPr>
              <w:widowControl/>
              <w:spacing w:line="280" w:lineRule="exact"/>
              <w:jc w:val="center"/>
              <w:textAlignment w:val="center"/>
              <w:rPr>
                <w:color w:val="000000"/>
                <w:kern w:val="0"/>
                <w:sz w:val="20"/>
                <w:szCs w:val="20"/>
              </w:rPr>
            </w:pPr>
            <w:r>
              <w:rPr>
                <w:color w:val="000000"/>
                <w:kern w:val="0"/>
                <w:sz w:val="20"/>
                <w:szCs w:val="20"/>
              </w:rPr>
              <w:t>投入</w:t>
            </w:r>
          </w:p>
          <w:p>
            <w:pPr>
              <w:widowControl/>
              <w:spacing w:line="280" w:lineRule="exact"/>
              <w:jc w:val="center"/>
              <w:textAlignment w:val="center"/>
              <w:rPr>
                <w:color w:val="000000"/>
                <w:sz w:val="20"/>
                <w:szCs w:val="20"/>
              </w:rPr>
            </w:pPr>
            <w:r>
              <w:rPr>
                <w:color w:val="000000"/>
                <w:kern w:val="0"/>
                <w:sz w:val="20"/>
                <w:szCs w:val="20"/>
              </w:rPr>
              <w:t>（7分）</w:t>
            </w:r>
          </w:p>
        </w:tc>
        <w:tc>
          <w:tcPr>
            <w:tcW w:w="459"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预算编制科学性</w:t>
            </w:r>
          </w:p>
        </w:tc>
        <w:tc>
          <w:tcPr>
            <w:tcW w:w="248" w:type="pc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31" w:type="pct"/>
            <w:tcMar>
              <w:top w:w="15" w:type="dxa"/>
              <w:left w:w="15" w:type="dxa"/>
              <w:right w:w="15" w:type="dxa"/>
            </w:tcMar>
            <w:vAlign w:val="center"/>
          </w:tcPr>
          <w:p>
            <w:pPr>
              <w:widowControl/>
              <w:spacing w:line="280" w:lineRule="exact"/>
              <w:jc w:val="left"/>
              <w:textAlignment w:val="center"/>
              <w:rPr>
                <w:rFonts w:hint="eastAsia" w:eastAsia="宋体"/>
                <w:color w:val="000000"/>
                <w:kern w:val="0"/>
                <w:sz w:val="20"/>
                <w:szCs w:val="20"/>
                <w:lang w:eastAsia="zh-CN"/>
              </w:rPr>
            </w:pPr>
            <w:r>
              <w:rPr>
                <w:color w:val="000000"/>
                <w:kern w:val="0"/>
                <w:sz w:val="20"/>
                <w:szCs w:val="20"/>
              </w:rPr>
              <w:t>①预算编制是否经过科学论证；</w:t>
            </w:r>
          </w:p>
          <w:p>
            <w:pPr>
              <w:widowControl/>
              <w:spacing w:line="280" w:lineRule="exact"/>
              <w:jc w:val="left"/>
              <w:textAlignment w:val="center"/>
              <w:rPr>
                <w:rFonts w:hint="eastAsia" w:eastAsia="宋体"/>
                <w:color w:val="000000"/>
                <w:kern w:val="0"/>
                <w:sz w:val="20"/>
                <w:szCs w:val="20"/>
                <w:lang w:eastAsia="zh-CN"/>
              </w:rPr>
            </w:pPr>
            <w:r>
              <w:rPr>
                <w:color w:val="000000"/>
                <w:kern w:val="0"/>
                <w:sz w:val="20"/>
                <w:szCs w:val="20"/>
              </w:rPr>
              <w:t>②预算内容与项目内容是否匹配；</w:t>
            </w:r>
          </w:p>
          <w:p>
            <w:pPr>
              <w:widowControl/>
              <w:spacing w:line="280" w:lineRule="exact"/>
              <w:jc w:val="left"/>
              <w:textAlignment w:val="center"/>
              <w:rPr>
                <w:rFonts w:hint="eastAsia" w:eastAsia="宋体"/>
                <w:color w:val="000000"/>
                <w:kern w:val="0"/>
                <w:sz w:val="20"/>
                <w:szCs w:val="20"/>
                <w:lang w:eastAsia="zh-CN"/>
              </w:rPr>
            </w:pPr>
            <w:r>
              <w:rPr>
                <w:color w:val="000000"/>
                <w:kern w:val="0"/>
                <w:sz w:val="20"/>
                <w:szCs w:val="20"/>
              </w:rPr>
              <w:t>③预算额度测算依据是否充分（含有效文件、</w:t>
            </w:r>
            <w:r>
              <w:rPr>
                <w:rFonts w:hint="eastAsia"/>
                <w:color w:val="000000"/>
                <w:kern w:val="0"/>
                <w:sz w:val="20"/>
                <w:szCs w:val="20"/>
                <w:highlight w:val="red"/>
              </w:rPr>
              <w:t>区委区</w:t>
            </w:r>
            <w:r>
              <w:rPr>
                <w:color w:val="000000"/>
                <w:kern w:val="0"/>
                <w:sz w:val="20"/>
                <w:szCs w:val="20"/>
                <w:highlight w:val="red"/>
              </w:rPr>
              <w:t>政府会议纪要</w:t>
            </w:r>
            <w:r>
              <w:rPr>
                <w:color w:val="000000"/>
                <w:kern w:val="0"/>
                <w:sz w:val="20"/>
                <w:szCs w:val="20"/>
              </w:rPr>
              <w:t>和主要领导批示所明确的具体金额），是否按照标准编制；</w:t>
            </w:r>
          </w:p>
          <w:p>
            <w:pPr>
              <w:widowControl/>
              <w:spacing w:line="280" w:lineRule="exact"/>
              <w:jc w:val="left"/>
              <w:textAlignment w:val="center"/>
              <w:rPr>
                <w:color w:val="000000"/>
                <w:sz w:val="20"/>
                <w:szCs w:val="20"/>
              </w:rPr>
            </w:pPr>
            <w:r>
              <w:rPr>
                <w:color w:val="000000"/>
                <w:kern w:val="0"/>
                <w:sz w:val="20"/>
                <w:szCs w:val="20"/>
              </w:rPr>
              <w:t>④预算确定的项目投资额或资金量是否与工作任务相匹配。</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①、②、③、④各0.5分，否则，酌情扣分；无预算超预算该项分数全扣。</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2" w:hRule="atLeast"/>
          <w:jc w:val="center"/>
        </w:trPr>
        <w:tc>
          <w:tcPr>
            <w:tcW w:w="419" w:type="pct"/>
            <w:vMerge w:val="restart"/>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eastAsia="zh-CN"/>
              </w:rPr>
            </w:pPr>
            <w:r>
              <w:rPr>
                <w:color w:val="000000"/>
                <w:kern w:val="0"/>
                <w:sz w:val="20"/>
                <w:szCs w:val="20"/>
              </w:rPr>
              <w:t>项目</w:t>
            </w:r>
          </w:p>
          <w:p>
            <w:pPr>
              <w:widowControl/>
              <w:spacing w:line="280" w:lineRule="exact"/>
              <w:jc w:val="center"/>
              <w:textAlignment w:val="center"/>
              <w:rPr>
                <w:rFonts w:hint="eastAsia" w:eastAsia="宋体"/>
                <w:color w:val="000000"/>
                <w:kern w:val="0"/>
                <w:sz w:val="20"/>
                <w:szCs w:val="20"/>
                <w:lang w:eastAsia="zh-CN"/>
              </w:rPr>
            </w:pPr>
            <w:r>
              <w:rPr>
                <w:color w:val="000000"/>
                <w:kern w:val="0"/>
                <w:sz w:val="20"/>
                <w:szCs w:val="20"/>
              </w:rPr>
              <w:t>决策</w:t>
            </w:r>
          </w:p>
          <w:p>
            <w:pPr>
              <w:widowControl/>
              <w:spacing w:line="280" w:lineRule="exact"/>
              <w:jc w:val="center"/>
              <w:textAlignment w:val="center"/>
              <w:rPr>
                <w:color w:val="000000"/>
                <w:sz w:val="20"/>
                <w:szCs w:val="20"/>
              </w:rPr>
            </w:pPr>
            <w:r>
              <w:rPr>
                <w:color w:val="000000"/>
                <w:kern w:val="0"/>
                <w:sz w:val="20"/>
                <w:szCs w:val="20"/>
              </w:rPr>
              <w:t>（16分）</w:t>
            </w:r>
          </w:p>
        </w:tc>
        <w:tc>
          <w:tcPr>
            <w:tcW w:w="409" w:type="pct"/>
            <w:vMerge w:val="restar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资金</w:t>
            </w:r>
          </w:p>
          <w:p>
            <w:pPr>
              <w:widowControl/>
              <w:spacing w:line="280" w:lineRule="exact"/>
              <w:jc w:val="center"/>
              <w:textAlignment w:val="center"/>
              <w:rPr>
                <w:color w:val="000000"/>
                <w:kern w:val="0"/>
                <w:sz w:val="20"/>
                <w:szCs w:val="20"/>
              </w:rPr>
            </w:pPr>
            <w:r>
              <w:rPr>
                <w:color w:val="000000"/>
                <w:kern w:val="0"/>
                <w:sz w:val="20"/>
                <w:szCs w:val="20"/>
              </w:rPr>
              <w:t>投入</w:t>
            </w:r>
          </w:p>
          <w:p>
            <w:pPr>
              <w:widowControl/>
              <w:spacing w:line="280" w:lineRule="exact"/>
              <w:jc w:val="center"/>
              <w:textAlignment w:val="center"/>
              <w:rPr>
                <w:color w:val="000000"/>
                <w:sz w:val="20"/>
                <w:szCs w:val="20"/>
              </w:rPr>
            </w:pPr>
            <w:r>
              <w:rPr>
                <w:color w:val="000000"/>
                <w:kern w:val="0"/>
                <w:sz w:val="20"/>
                <w:szCs w:val="20"/>
              </w:rPr>
              <w:t>（7分）</w:t>
            </w:r>
          </w:p>
        </w:tc>
        <w:tc>
          <w:tcPr>
            <w:tcW w:w="459" w:type="pct"/>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资金分配规范性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①分配办法是否健全、规范；②分配标准、因素选择是否全面、合理。</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①分配办法健全、规范，计0.5分，1例不符合扣0.1分；②分配标准、因素选择全面、合理，计0.5分，1例不符合扣0.1分。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vMerge w:val="continue"/>
            <w:noWrap/>
            <w:tcMar>
              <w:top w:w="15" w:type="dxa"/>
              <w:left w:w="15" w:type="dxa"/>
              <w:right w:w="15" w:type="dxa"/>
            </w:tcMar>
            <w:vAlign w:val="center"/>
          </w:tcPr>
          <w:p>
            <w:pPr>
              <w:spacing w:line="280" w:lineRule="exact"/>
              <w:jc w:val="center"/>
              <w:rPr>
                <w:color w:val="000000"/>
                <w:sz w:val="20"/>
                <w:szCs w:val="20"/>
              </w:rPr>
            </w:pP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实际分配是否符合办法要求，结果是否公平、合理。</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实际分配符合办法要求，结果公平、合理，计1分，1例不符合扣0.1分。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vMerge w:val="continue"/>
            <w:noWrap/>
            <w:tcMar>
              <w:top w:w="15" w:type="dxa"/>
              <w:left w:w="15" w:type="dxa"/>
              <w:right w:w="15" w:type="dxa"/>
            </w:tcMar>
            <w:vAlign w:val="center"/>
          </w:tcPr>
          <w:p>
            <w:pPr>
              <w:spacing w:line="280" w:lineRule="exact"/>
              <w:jc w:val="center"/>
              <w:rPr>
                <w:color w:val="000000"/>
                <w:sz w:val="20"/>
                <w:szCs w:val="20"/>
              </w:rPr>
            </w:pP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①资金分配结果是否在公开渠道进行公示；②公示是否及时，公示期是否到达要求；③公示内容准确；④公示内容完整。</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①资金分配结果在公开渠道及时达到规定期限要求，进行公示，计0.5分；②公示内容准确、完整，计0.5分。否则，酌情扣分。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2"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结转</w:t>
            </w:r>
          </w:p>
          <w:p>
            <w:pPr>
              <w:widowControl/>
              <w:spacing w:line="280" w:lineRule="exact"/>
              <w:jc w:val="center"/>
              <w:textAlignment w:val="center"/>
              <w:rPr>
                <w:color w:val="000000"/>
                <w:kern w:val="0"/>
                <w:sz w:val="20"/>
                <w:szCs w:val="20"/>
              </w:rPr>
            </w:pPr>
            <w:r>
              <w:rPr>
                <w:color w:val="000000"/>
                <w:kern w:val="0"/>
                <w:sz w:val="20"/>
                <w:szCs w:val="20"/>
              </w:rPr>
              <w:t>结余资金</w:t>
            </w:r>
          </w:p>
          <w:p>
            <w:pPr>
              <w:widowControl/>
              <w:spacing w:line="280" w:lineRule="exact"/>
              <w:jc w:val="center"/>
              <w:textAlignment w:val="center"/>
              <w:rPr>
                <w:color w:val="000000"/>
                <w:sz w:val="20"/>
                <w:szCs w:val="20"/>
              </w:rPr>
            </w:pPr>
            <w:r>
              <w:rPr>
                <w:color w:val="000000"/>
                <w:kern w:val="0"/>
                <w:sz w:val="20"/>
                <w:szCs w:val="20"/>
              </w:rPr>
              <w:t>合理性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结转结余数指单位本年度的结转资金与结余资金之和（以决算为准）</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rFonts w:hint="eastAsia"/>
                <w:color w:val="000000"/>
                <w:kern w:val="0"/>
                <w:sz w:val="20"/>
                <w:szCs w:val="20"/>
                <w:highlight w:val="red"/>
              </w:rPr>
              <w:t>区</w:t>
            </w:r>
            <w:r>
              <w:rPr>
                <w:color w:val="000000"/>
                <w:kern w:val="0"/>
                <w:sz w:val="20"/>
                <w:szCs w:val="20"/>
                <w:highlight w:val="red"/>
              </w:rPr>
              <w:t>本级公共项目资金</w:t>
            </w:r>
            <w:r>
              <w:rPr>
                <w:color w:val="000000"/>
                <w:kern w:val="0"/>
                <w:sz w:val="20"/>
                <w:szCs w:val="20"/>
              </w:rPr>
              <w:t>不能结转，无结转计2分，有结转不得分。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419" w:type="pct"/>
            <w:vMerge w:val="restart"/>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eastAsia="zh-CN"/>
              </w:rPr>
            </w:pPr>
            <w:r>
              <w:rPr>
                <w:color w:val="000000"/>
                <w:kern w:val="0"/>
                <w:sz w:val="20"/>
                <w:szCs w:val="20"/>
              </w:rPr>
              <w:t>项目</w:t>
            </w:r>
          </w:p>
          <w:p>
            <w:pPr>
              <w:widowControl/>
              <w:spacing w:line="280" w:lineRule="exact"/>
              <w:jc w:val="center"/>
              <w:textAlignment w:val="center"/>
              <w:rPr>
                <w:rFonts w:hint="eastAsia" w:eastAsia="宋体"/>
                <w:color w:val="000000"/>
                <w:kern w:val="0"/>
                <w:sz w:val="20"/>
                <w:szCs w:val="20"/>
                <w:lang w:eastAsia="zh-CN"/>
              </w:rPr>
            </w:pPr>
            <w:r>
              <w:rPr>
                <w:color w:val="000000"/>
                <w:kern w:val="0"/>
                <w:sz w:val="20"/>
                <w:szCs w:val="20"/>
              </w:rPr>
              <w:t>过程</w:t>
            </w:r>
          </w:p>
          <w:p>
            <w:pPr>
              <w:widowControl/>
              <w:spacing w:line="280" w:lineRule="exact"/>
              <w:jc w:val="center"/>
              <w:textAlignment w:val="center"/>
              <w:rPr>
                <w:color w:val="000000"/>
                <w:sz w:val="20"/>
                <w:szCs w:val="20"/>
              </w:rPr>
            </w:pPr>
            <w:r>
              <w:rPr>
                <w:color w:val="000000"/>
                <w:kern w:val="0"/>
                <w:sz w:val="20"/>
                <w:szCs w:val="20"/>
              </w:rPr>
              <w:t>（24分）</w:t>
            </w:r>
          </w:p>
        </w:tc>
        <w:tc>
          <w:tcPr>
            <w:tcW w:w="409" w:type="pct"/>
            <w:vMerge w:val="restar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资金</w:t>
            </w:r>
          </w:p>
          <w:p>
            <w:pPr>
              <w:widowControl/>
              <w:spacing w:line="280" w:lineRule="exact"/>
              <w:jc w:val="center"/>
              <w:textAlignment w:val="center"/>
              <w:rPr>
                <w:color w:val="000000"/>
                <w:kern w:val="0"/>
                <w:sz w:val="20"/>
                <w:szCs w:val="20"/>
              </w:rPr>
            </w:pPr>
            <w:r>
              <w:rPr>
                <w:color w:val="000000"/>
                <w:kern w:val="0"/>
                <w:sz w:val="20"/>
                <w:szCs w:val="20"/>
              </w:rPr>
              <w:t>管理</w:t>
            </w:r>
          </w:p>
          <w:p>
            <w:pPr>
              <w:widowControl/>
              <w:spacing w:line="280" w:lineRule="exact"/>
              <w:jc w:val="center"/>
              <w:textAlignment w:val="center"/>
              <w:rPr>
                <w:color w:val="000000"/>
                <w:sz w:val="20"/>
                <w:szCs w:val="20"/>
              </w:rPr>
            </w:pPr>
            <w:r>
              <w:rPr>
                <w:color w:val="000000"/>
                <w:kern w:val="0"/>
                <w:sz w:val="20"/>
                <w:szCs w:val="20"/>
              </w:rPr>
              <w:t>（13分）</w:t>
            </w:r>
          </w:p>
        </w:tc>
        <w:tc>
          <w:tcPr>
            <w:tcW w:w="459"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资金</w:t>
            </w:r>
          </w:p>
          <w:p>
            <w:pPr>
              <w:widowControl/>
              <w:spacing w:line="280" w:lineRule="exact"/>
              <w:jc w:val="center"/>
              <w:textAlignment w:val="center"/>
              <w:rPr>
                <w:color w:val="000000"/>
                <w:sz w:val="20"/>
                <w:szCs w:val="20"/>
              </w:rPr>
            </w:pPr>
            <w:r>
              <w:rPr>
                <w:color w:val="000000"/>
                <w:kern w:val="0"/>
                <w:sz w:val="20"/>
                <w:szCs w:val="20"/>
              </w:rPr>
              <w:t>到位率</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3</w:t>
            </w:r>
          </w:p>
        </w:tc>
        <w:tc>
          <w:tcPr>
            <w:tcW w:w="1531"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color w:val="000000"/>
                <w:kern w:val="0"/>
                <w:sz w:val="20"/>
                <w:szCs w:val="20"/>
              </w:rPr>
              <w:t>资金到位率=（实际到位资金/预算资金）×100%。</w:t>
            </w:r>
          </w:p>
          <w:p>
            <w:pPr>
              <w:widowControl/>
              <w:spacing w:line="280" w:lineRule="exact"/>
              <w:textAlignment w:val="center"/>
              <w:rPr>
                <w:rFonts w:hint="eastAsia" w:eastAsia="宋体"/>
                <w:color w:val="000000"/>
                <w:spacing w:val="-6"/>
                <w:kern w:val="0"/>
                <w:sz w:val="20"/>
                <w:szCs w:val="20"/>
                <w:lang w:eastAsia="zh-CN"/>
              </w:rPr>
            </w:pPr>
            <w:r>
              <w:rPr>
                <w:color w:val="000000"/>
                <w:spacing w:val="-6"/>
                <w:kern w:val="0"/>
                <w:sz w:val="20"/>
                <w:szCs w:val="20"/>
              </w:rPr>
              <w:t>实际到位资金：一定时期（本年度或项目期）内落实到具体项目的资金。</w:t>
            </w:r>
          </w:p>
          <w:p>
            <w:pPr>
              <w:widowControl/>
              <w:spacing w:line="280" w:lineRule="exact"/>
              <w:textAlignment w:val="center"/>
              <w:rPr>
                <w:color w:val="000000"/>
                <w:sz w:val="20"/>
                <w:szCs w:val="20"/>
              </w:rPr>
            </w:pPr>
            <w:r>
              <w:rPr>
                <w:color w:val="000000"/>
                <w:spacing w:val="-6"/>
                <w:kern w:val="0"/>
                <w:sz w:val="20"/>
                <w:szCs w:val="20"/>
              </w:rPr>
              <w:t>预算资金：一定时期（本年度或项目期）内预算安排到具体项目的资金。</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经审批或下达资金指标文后，根据合同约定在规定时限内拨付到项目，计3分，否则不得分。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eastAsia="zh-CN"/>
              </w:rPr>
            </w:pPr>
            <w:r>
              <w:rPr>
                <w:color w:val="000000"/>
                <w:kern w:val="0"/>
                <w:sz w:val="20"/>
                <w:szCs w:val="20"/>
              </w:rPr>
              <w:t>预算执行进度率</w:t>
            </w:r>
          </w:p>
          <w:p>
            <w:pPr>
              <w:widowControl/>
              <w:spacing w:line="280" w:lineRule="exact"/>
              <w:jc w:val="center"/>
              <w:textAlignment w:val="center"/>
              <w:rPr>
                <w:color w:val="000000"/>
                <w:sz w:val="20"/>
                <w:szCs w:val="20"/>
              </w:rPr>
            </w:pPr>
            <w:r>
              <w:rPr>
                <w:color w:val="000000"/>
                <w:kern w:val="0"/>
                <w:sz w:val="20"/>
                <w:szCs w:val="20"/>
              </w:rPr>
              <w:t>和调整率</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31"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①预算执行进度=截止预算年度已安排使用的预算项目资金/预算资金*100%。</w:t>
            </w:r>
          </w:p>
          <w:p>
            <w:pPr>
              <w:widowControl/>
              <w:spacing w:line="280" w:lineRule="exact"/>
              <w:textAlignment w:val="center"/>
              <w:rPr>
                <w:color w:val="000000"/>
                <w:sz w:val="20"/>
                <w:szCs w:val="20"/>
              </w:rPr>
            </w:pPr>
            <w:r>
              <w:rPr>
                <w:color w:val="000000"/>
                <w:kern w:val="0"/>
                <w:sz w:val="20"/>
                <w:szCs w:val="20"/>
              </w:rPr>
              <w:t>②预算调整率=预算调整金额/年初预算金额（应提交经审批调整的用途及原因）</w:t>
            </w:r>
          </w:p>
        </w:tc>
        <w:tc>
          <w:tcPr>
            <w:tcW w:w="1415"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①资金安排在11月底之前分配完毕，计2分；全年执行进度低于95%，不计分。</w:t>
            </w:r>
          </w:p>
          <w:p>
            <w:pPr>
              <w:widowControl/>
              <w:spacing w:line="280" w:lineRule="exact"/>
              <w:textAlignment w:val="center"/>
              <w:rPr>
                <w:color w:val="000000"/>
                <w:sz w:val="20"/>
                <w:szCs w:val="20"/>
              </w:rPr>
            </w:pPr>
            <w:r>
              <w:rPr>
                <w:color w:val="000000"/>
                <w:kern w:val="0"/>
                <w:sz w:val="20"/>
                <w:szCs w:val="20"/>
              </w:rPr>
              <w:t>②预算调整率低于5%计2分，按比例每上升1%扣0.2分（经审批允许调整的除外），扣完为止。</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5"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资金使用合规性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是否符合国家财经法规和财务管理制度以及有关专项资金管理办法的规定；②资金的支付是否有完整的审批程序和验收手续；③项目的重大开支是否经过评估认证或单位集体决策；④是否符合项目预算批复或合同规定的用途；⑤是否存在截留、挤占、挪用、虚列支出等情况；⑥是否存在重复申报项目、虚报冒领资金。⑦现场核实的评价项目是否存在与项目申报资金下达内容和合同不符的情形。</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符合国家财经法规和财务管理制度以及各类专项资金管理办法的规定，资金的支付有完整的审批程序，计1分，1例不符合扣0.2分；②项目的重大开支经过评估认证和单位集体决策，计1分，1例不符合扣0.2分；③符合项目预算批复或合同规定的用途，计1分，1例不符合扣0.2分；④不存在截留、挤占、挪用、虚列支出等情况，不存在重复申报项目、虚报冒领资金，不存在项目申报与合同和资金下达内容不符的，计2分，出现1例不符合，本指标的5分全扣；⑤违规情况特别严重的，重点绩效评价等级定为“差”。</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信息公开</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①项目绩效目标、自评情况是否全面、及时、准确按有关规定予以公开。</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全面、及时、准确公开，计1分，否则不得分。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0" w:hRule="atLeast"/>
          <w:jc w:val="center"/>
        </w:trPr>
        <w:tc>
          <w:tcPr>
            <w:tcW w:w="419" w:type="pct"/>
            <w:vMerge w:val="restart"/>
            <w:tcMar>
              <w:top w:w="15" w:type="dxa"/>
              <w:left w:w="15" w:type="dxa"/>
              <w:right w:w="15" w:type="dxa"/>
            </w:tcMar>
            <w:vAlign w:val="center"/>
          </w:tcPr>
          <w:p>
            <w:pPr>
              <w:widowControl/>
              <w:spacing w:line="280" w:lineRule="exact"/>
              <w:jc w:val="center"/>
              <w:textAlignment w:val="center"/>
              <w:rPr>
                <w:rFonts w:hint="eastAsia" w:eastAsia="宋体"/>
                <w:color w:val="000000"/>
                <w:kern w:val="0"/>
                <w:sz w:val="20"/>
                <w:szCs w:val="20"/>
                <w:lang w:eastAsia="zh-CN"/>
              </w:rPr>
            </w:pPr>
            <w:r>
              <w:rPr>
                <w:color w:val="000000"/>
                <w:kern w:val="0"/>
                <w:sz w:val="20"/>
                <w:szCs w:val="20"/>
              </w:rPr>
              <w:t>项目</w:t>
            </w:r>
          </w:p>
          <w:p>
            <w:pPr>
              <w:widowControl/>
              <w:spacing w:line="280" w:lineRule="exact"/>
              <w:jc w:val="center"/>
              <w:textAlignment w:val="center"/>
              <w:rPr>
                <w:rFonts w:hint="eastAsia" w:eastAsia="宋体"/>
                <w:color w:val="000000"/>
                <w:kern w:val="0"/>
                <w:sz w:val="20"/>
                <w:szCs w:val="20"/>
                <w:lang w:eastAsia="zh-CN"/>
              </w:rPr>
            </w:pPr>
            <w:r>
              <w:rPr>
                <w:color w:val="000000"/>
                <w:kern w:val="0"/>
                <w:sz w:val="20"/>
                <w:szCs w:val="20"/>
              </w:rPr>
              <w:t>过程</w:t>
            </w:r>
          </w:p>
          <w:p>
            <w:pPr>
              <w:widowControl/>
              <w:spacing w:line="280" w:lineRule="exact"/>
              <w:jc w:val="center"/>
              <w:textAlignment w:val="center"/>
              <w:rPr>
                <w:color w:val="000000"/>
                <w:sz w:val="20"/>
                <w:szCs w:val="20"/>
              </w:rPr>
            </w:pPr>
            <w:r>
              <w:rPr>
                <w:color w:val="000000"/>
                <w:kern w:val="0"/>
                <w:sz w:val="20"/>
                <w:szCs w:val="20"/>
              </w:rPr>
              <w:t>（24分）</w:t>
            </w:r>
          </w:p>
        </w:tc>
        <w:tc>
          <w:tcPr>
            <w:tcW w:w="409" w:type="pct"/>
            <w:vMerge w:val="restar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组织</w:t>
            </w:r>
          </w:p>
          <w:p>
            <w:pPr>
              <w:widowControl/>
              <w:spacing w:line="280" w:lineRule="exact"/>
              <w:jc w:val="center"/>
              <w:textAlignment w:val="center"/>
              <w:rPr>
                <w:color w:val="000000"/>
                <w:kern w:val="0"/>
                <w:sz w:val="20"/>
                <w:szCs w:val="20"/>
              </w:rPr>
            </w:pPr>
            <w:r>
              <w:rPr>
                <w:color w:val="000000"/>
                <w:kern w:val="0"/>
                <w:sz w:val="20"/>
                <w:szCs w:val="20"/>
              </w:rPr>
              <w:t>实施</w:t>
            </w:r>
          </w:p>
          <w:p>
            <w:pPr>
              <w:widowControl/>
              <w:spacing w:line="280" w:lineRule="exact"/>
              <w:jc w:val="center"/>
              <w:textAlignment w:val="center"/>
              <w:rPr>
                <w:color w:val="000000"/>
                <w:sz w:val="20"/>
                <w:szCs w:val="20"/>
              </w:rPr>
            </w:pPr>
            <w:r>
              <w:rPr>
                <w:color w:val="000000"/>
                <w:kern w:val="0"/>
                <w:sz w:val="20"/>
                <w:szCs w:val="20"/>
              </w:rPr>
              <w:t>（11分）</w:t>
            </w: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管理制度健全性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3</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项目单位按有关规定需要进行政府采购、招投标和投资评审的项目，是否做到应采尽采、应招尽招、应评尽评，无规避政府采购、招投标和投资评审等行为；②是否按规定对有关项目进行中期检查、竣工验收，并进行跟踪管理；③是否制定合法、合规、完整的项目资金管理办法和项目管理制度。</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①、②、③各计1分。如果有部分单位①、②均不适应，则③为3分，有一项不适应，则③为2分。否则，酌情扣分。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2"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制度执行有效性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31" w:type="pct"/>
            <w:tcMar>
              <w:top w:w="15" w:type="dxa"/>
              <w:left w:w="15" w:type="dxa"/>
              <w:right w:w="15" w:type="dxa"/>
            </w:tcMar>
            <w:vAlign w:val="center"/>
          </w:tcPr>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①是否遵守相关法律法规和相关管理规定；</w:t>
            </w:r>
          </w:p>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②项目调整及支出调整手续是否完备；</w:t>
            </w:r>
          </w:p>
          <w:p>
            <w:pPr>
              <w:widowControl/>
              <w:spacing w:line="280" w:lineRule="exact"/>
              <w:textAlignment w:val="center"/>
              <w:rPr>
                <w:rFonts w:hint="eastAsia" w:eastAsia="宋体"/>
                <w:color w:val="000000"/>
                <w:kern w:val="0"/>
                <w:sz w:val="20"/>
                <w:szCs w:val="20"/>
                <w:lang w:eastAsia="zh-CN"/>
              </w:rPr>
            </w:pPr>
            <w:r>
              <w:rPr>
                <w:color w:val="000000"/>
                <w:kern w:val="0"/>
                <w:sz w:val="20"/>
                <w:szCs w:val="20"/>
              </w:rPr>
              <w:t>③项目合同书、验收报告、技术鉴定等资料是否齐全并及时归档；</w:t>
            </w:r>
          </w:p>
          <w:p>
            <w:pPr>
              <w:widowControl/>
              <w:spacing w:line="280" w:lineRule="exact"/>
              <w:textAlignment w:val="center"/>
              <w:rPr>
                <w:color w:val="000000"/>
                <w:sz w:val="20"/>
                <w:szCs w:val="20"/>
              </w:rPr>
            </w:pPr>
            <w:r>
              <w:rPr>
                <w:color w:val="000000"/>
                <w:kern w:val="0"/>
                <w:sz w:val="20"/>
                <w:szCs w:val="20"/>
              </w:rPr>
              <w:t>④项目实施的人员条件、场地设备、信息支撑等是否落实到位。</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①、②、③、④各0.5分。否则，酌情扣分。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重点绩效评价整改情况</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对2019年重点绩效评价报告中存在的问题是否进行整改，未整改原因是否进行情况说明</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对2019年重点绩效评价报告中发现的问题全部整改，计2分；2019年反映问题部分整改，计1分；2019年反映问题未整改且无整改情况说明，计0分。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绩效自评合规性</w:t>
            </w:r>
          </w:p>
        </w:tc>
        <w:tc>
          <w:tcPr>
            <w:tcW w:w="248"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3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415"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根据</w:t>
            </w:r>
            <w:r>
              <w:rPr>
                <w:rFonts w:hint="eastAsia"/>
                <w:color w:val="000000"/>
                <w:kern w:val="0"/>
                <w:sz w:val="20"/>
                <w:szCs w:val="20"/>
                <w:highlight w:val="red"/>
              </w:rPr>
              <w:t>区</w:t>
            </w:r>
            <w:r>
              <w:rPr>
                <w:color w:val="000000"/>
                <w:kern w:val="0"/>
                <w:sz w:val="20"/>
                <w:szCs w:val="20"/>
                <w:highlight w:val="red"/>
              </w:rPr>
              <w:t>财政局</w:t>
            </w:r>
            <w:r>
              <w:rPr>
                <w:color w:val="000000"/>
                <w:kern w:val="0"/>
                <w:sz w:val="20"/>
                <w:szCs w:val="20"/>
              </w:rPr>
              <w:t>2020年考核结果，评审为优，得4分；评审为良，得3分；评审为中，得2分；评审为低，得1分；评审为差，得0分。</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0" w:hRule="atLeast"/>
          <w:jc w:val="center"/>
        </w:trPr>
        <w:tc>
          <w:tcPr>
            <w:tcW w:w="419"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（30分）</w:t>
            </w:r>
          </w:p>
        </w:tc>
        <w:tc>
          <w:tcPr>
            <w:tcW w:w="409" w:type="pc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数量</w:t>
            </w:r>
          </w:p>
        </w:tc>
        <w:tc>
          <w:tcPr>
            <w:tcW w:w="459"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实际</w:t>
            </w:r>
          </w:p>
          <w:p>
            <w:pPr>
              <w:widowControl/>
              <w:spacing w:line="280" w:lineRule="exact"/>
              <w:jc w:val="center"/>
              <w:textAlignment w:val="center"/>
              <w:rPr>
                <w:color w:val="000000"/>
                <w:kern w:val="0"/>
                <w:sz w:val="20"/>
                <w:szCs w:val="20"/>
              </w:rPr>
            </w:pPr>
            <w:r>
              <w:rPr>
                <w:color w:val="000000"/>
                <w:kern w:val="0"/>
                <w:sz w:val="20"/>
                <w:szCs w:val="20"/>
              </w:rPr>
              <w:t>完成率</w:t>
            </w:r>
          </w:p>
        </w:tc>
        <w:tc>
          <w:tcPr>
            <w:tcW w:w="248"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8</w:t>
            </w:r>
          </w:p>
        </w:tc>
        <w:tc>
          <w:tcPr>
            <w:tcW w:w="153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预算支出实施的实际产出数与计划产出数的比率，用以反映和考核预算支出产出数量目标的实现程度。</w:t>
            </w:r>
          </w:p>
        </w:tc>
        <w:tc>
          <w:tcPr>
            <w:tcW w:w="1415"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产出数/计划产出数）*100%。实际产出数：一定时期（本年度或预算支出期）内预算支出实际产出的产品或提供的服务数量。计划产出数：预算支出绩效目标确定的在一定时期（本年度或预算支出期）内计划产出的产品或提供的服务数量</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质量</w:t>
            </w:r>
          </w:p>
        </w:tc>
        <w:tc>
          <w:tcPr>
            <w:tcW w:w="459"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质量</w:t>
            </w:r>
          </w:p>
          <w:p>
            <w:pPr>
              <w:widowControl/>
              <w:spacing w:line="280" w:lineRule="exact"/>
              <w:jc w:val="center"/>
              <w:textAlignment w:val="center"/>
              <w:rPr>
                <w:color w:val="000000"/>
                <w:kern w:val="0"/>
                <w:sz w:val="20"/>
                <w:szCs w:val="20"/>
              </w:rPr>
            </w:pPr>
            <w:r>
              <w:rPr>
                <w:color w:val="000000"/>
                <w:kern w:val="0"/>
                <w:sz w:val="20"/>
                <w:szCs w:val="20"/>
              </w:rPr>
              <w:t>达标率</w:t>
            </w:r>
          </w:p>
        </w:tc>
        <w:tc>
          <w:tcPr>
            <w:tcW w:w="248"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31"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预算支出完成的质量达标产出数与实际产出数的比率，用以反映和考核预算支出产出质量目标的实现程度。</w:t>
            </w:r>
          </w:p>
        </w:tc>
        <w:tc>
          <w:tcPr>
            <w:tcW w:w="1415"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产出数/实际产出数）*100%。质量达标产出数：一定时期（本年度或预算支出期）内实际达到既定质量标准的产品或服务数量。既定质量标准是指预算支出实施单位设立绩效时依据计划标准、行业标准、历时标准或其他标准而设立的绩效指标值。</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（30分）</w:t>
            </w:r>
          </w:p>
        </w:tc>
        <w:tc>
          <w:tcPr>
            <w:tcW w:w="409" w:type="pc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时效</w:t>
            </w:r>
          </w:p>
        </w:tc>
        <w:tc>
          <w:tcPr>
            <w:tcW w:w="459"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完成</w:t>
            </w:r>
          </w:p>
          <w:p>
            <w:pPr>
              <w:widowControl/>
              <w:spacing w:line="280" w:lineRule="exact"/>
              <w:jc w:val="center"/>
              <w:textAlignment w:val="center"/>
              <w:rPr>
                <w:color w:val="000000"/>
                <w:kern w:val="0"/>
                <w:sz w:val="20"/>
                <w:szCs w:val="20"/>
              </w:rPr>
            </w:pPr>
            <w:r>
              <w:rPr>
                <w:color w:val="000000"/>
                <w:kern w:val="0"/>
                <w:sz w:val="20"/>
                <w:szCs w:val="20"/>
              </w:rPr>
              <w:t>及时性</w:t>
            </w:r>
          </w:p>
        </w:tc>
        <w:tc>
          <w:tcPr>
            <w:tcW w:w="248"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3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预算支出实际完成时间与计划完成时间的比较，用以反映和考核预算支出产出时效目标的实现程度。</w:t>
            </w:r>
          </w:p>
        </w:tc>
        <w:tc>
          <w:tcPr>
            <w:tcW w:w="1415"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实际完成时间：预算支出实施单位完成该预算支出实际所耗用的时间。计划完成时间：按照预算支出实施计划或相关规定完成该预算支出所需的时间。</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成本</w:t>
            </w:r>
          </w:p>
        </w:tc>
        <w:tc>
          <w:tcPr>
            <w:tcW w:w="459"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成本</w:t>
            </w:r>
          </w:p>
          <w:p>
            <w:pPr>
              <w:widowControl/>
              <w:spacing w:line="280" w:lineRule="exact"/>
              <w:jc w:val="center"/>
              <w:textAlignment w:val="center"/>
              <w:rPr>
                <w:color w:val="000000"/>
                <w:kern w:val="0"/>
                <w:sz w:val="20"/>
                <w:szCs w:val="20"/>
              </w:rPr>
            </w:pPr>
            <w:r>
              <w:rPr>
                <w:color w:val="000000"/>
                <w:kern w:val="0"/>
                <w:sz w:val="20"/>
                <w:szCs w:val="20"/>
              </w:rPr>
              <w:t>节约率</w:t>
            </w:r>
          </w:p>
        </w:tc>
        <w:tc>
          <w:tcPr>
            <w:tcW w:w="248"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9</w:t>
            </w:r>
          </w:p>
        </w:tc>
        <w:tc>
          <w:tcPr>
            <w:tcW w:w="153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完成预算支出计划工作目标的实际节约成本与计划成本的比率，用以反映和考核预算支出的成本节约程度。</w:t>
            </w:r>
          </w:p>
        </w:tc>
        <w:tc>
          <w:tcPr>
            <w:tcW w:w="1415"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成本节约率=[（计划成本-实际成本）/计划成本]*100%。实际成本：预算支出实施单位如期、保质、保量完成既定工作目标实际所耗费的支出。计划成本：预算支出实施单位为完成工作目标计划安排的支出，一般以预算支出预算为参考。</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（30分）</w:t>
            </w:r>
          </w:p>
        </w:tc>
        <w:tc>
          <w:tcPr>
            <w:tcW w:w="409"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预算支出效益</w:t>
            </w:r>
          </w:p>
        </w:tc>
        <w:tc>
          <w:tcPr>
            <w:tcW w:w="459"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实施效益</w:t>
            </w:r>
          </w:p>
        </w:tc>
        <w:tc>
          <w:tcPr>
            <w:tcW w:w="248"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20</w:t>
            </w:r>
          </w:p>
        </w:tc>
        <w:tc>
          <w:tcPr>
            <w:tcW w:w="153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预算支出实施所产生的效益</w:t>
            </w:r>
          </w:p>
        </w:tc>
        <w:tc>
          <w:tcPr>
            <w:tcW w:w="1415"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预算支出实施所产生的社会效益、经济效益、生态效益、可持续影响等。可根据预算支出实际情况有选择的设置和细化。</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419" w:type="pct"/>
            <w:vMerge w:val="continue"/>
            <w:tcMar>
              <w:top w:w="15" w:type="dxa"/>
              <w:left w:w="15" w:type="dxa"/>
              <w:right w:w="15" w:type="dxa"/>
            </w:tcMar>
            <w:vAlign w:val="center"/>
          </w:tcPr>
          <w:p>
            <w:pPr>
              <w:spacing w:line="280" w:lineRule="exact"/>
              <w:jc w:val="center"/>
              <w:rPr>
                <w:color w:val="000000"/>
                <w:sz w:val="20"/>
                <w:szCs w:val="20"/>
              </w:rPr>
            </w:pPr>
          </w:p>
        </w:tc>
        <w:tc>
          <w:tcPr>
            <w:tcW w:w="409" w:type="pct"/>
            <w:vMerge w:val="continue"/>
            <w:tcMar>
              <w:top w:w="15" w:type="dxa"/>
              <w:left w:w="15" w:type="dxa"/>
              <w:right w:w="15" w:type="dxa"/>
            </w:tcMar>
            <w:vAlign w:val="center"/>
          </w:tcPr>
          <w:p>
            <w:pPr>
              <w:spacing w:line="280" w:lineRule="exact"/>
              <w:jc w:val="center"/>
              <w:rPr>
                <w:color w:val="000000"/>
                <w:sz w:val="20"/>
                <w:szCs w:val="20"/>
              </w:rPr>
            </w:pPr>
          </w:p>
        </w:tc>
        <w:tc>
          <w:tcPr>
            <w:tcW w:w="459"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社会公众或服务对象满意度</w:t>
            </w:r>
          </w:p>
        </w:tc>
        <w:tc>
          <w:tcPr>
            <w:tcW w:w="248"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10</w:t>
            </w:r>
          </w:p>
        </w:tc>
        <w:tc>
          <w:tcPr>
            <w:tcW w:w="153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社会公众或服务对象对预算支出实施效果的满意程度。</w:t>
            </w:r>
          </w:p>
        </w:tc>
        <w:tc>
          <w:tcPr>
            <w:tcW w:w="1415"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社会公众或服务对象是指因该预算支出实施而受到影响的部门、群体或个人。一般采取社会调查的方式。</w:t>
            </w: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419"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409"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59" w:type="pct"/>
            <w:tcMar>
              <w:top w:w="15" w:type="dxa"/>
              <w:left w:w="15" w:type="dxa"/>
              <w:right w:w="15" w:type="dxa"/>
            </w:tcMar>
            <w:vAlign w:val="center"/>
          </w:tcPr>
          <w:p>
            <w:pPr>
              <w:widowControl/>
              <w:spacing w:line="280" w:lineRule="exact"/>
              <w:jc w:val="center"/>
              <w:textAlignment w:val="center"/>
              <w:rPr>
                <w:color w:val="000000"/>
                <w:kern w:val="0"/>
                <w:sz w:val="20"/>
                <w:szCs w:val="20"/>
              </w:rPr>
            </w:pPr>
          </w:p>
        </w:tc>
        <w:tc>
          <w:tcPr>
            <w:tcW w:w="248"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3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1415"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516"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96</w:t>
            </w:r>
          </w:p>
        </w:tc>
      </w:tr>
    </w:tbl>
    <w:p/>
    <w:p/>
    <w:p/>
    <w:p/>
    <w:p/>
    <w:p/>
    <w:p/>
    <w:p/>
    <w:p/>
    <w:p/>
    <w:p/>
    <w:p/>
    <w:p/>
    <w:p/>
    <w:p/>
    <w:p/>
    <w:p/>
    <w:p/>
    <w:p/>
    <w:p/>
    <w:p/>
    <w:p/>
    <w:p/>
    <w:p/>
    <w:p/>
    <w:p/>
    <w:p/>
    <w:p/>
    <w:p/>
    <w:p>
      <w:pPr>
        <w:jc w:val="center"/>
        <w:rPr>
          <w:rFonts w:ascii="方正小标宋简体" w:hAnsi="方正小标宋简体" w:eastAsia="方正小标宋简体" w:cs="方正小标宋简体"/>
          <w:sz w:val="36"/>
          <w:szCs w:val="36"/>
        </w:rPr>
      </w:pPr>
    </w:p>
    <w:p>
      <w:pPr>
        <w:spacing w:line="600" w:lineRule="exact"/>
        <w:rPr>
          <w:rFonts w:eastAsia="黑体"/>
          <w:sz w:val="32"/>
          <w:szCs w:val="32"/>
        </w:rPr>
      </w:pPr>
      <w:r>
        <w:rPr>
          <w:rFonts w:eastAsia="黑体"/>
          <w:sz w:val="32"/>
          <w:szCs w:val="32"/>
        </w:rPr>
        <w:t>附件</w:t>
      </w:r>
      <w:r>
        <w:rPr>
          <w:rFonts w:hint="eastAsia" w:eastAsia="黑体"/>
          <w:sz w:val="32"/>
          <w:szCs w:val="32"/>
        </w:rPr>
        <w:t>5</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2020年度雨花区委党校干教培训专项资金</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绩效自评报告</w:t>
      </w:r>
    </w:p>
    <w:p>
      <w:pPr>
        <w:pStyle w:val="10"/>
        <w:numPr>
          <w:ilvl w:val="0"/>
          <w:numId w:val="1"/>
        </w:numPr>
        <w:spacing w:line="660" w:lineRule="exact"/>
        <w:ind w:firstLineChars="0"/>
        <w:rPr>
          <w:rFonts w:hint="eastAsia" w:eastAsia="仿宋_GB2312"/>
          <w:b/>
          <w:bCs/>
          <w:sz w:val="32"/>
          <w:szCs w:val="32"/>
        </w:rPr>
      </w:pPr>
      <w:r>
        <w:rPr>
          <w:rFonts w:eastAsia="仿宋_GB2312"/>
          <w:b/>
          <w:bCs/>
          <w:sz w:val="32"/>
          <w:szCs w:val="32"/>
        </w:rPr>
        <w:t>项目</w:t>
      </w:r>
      <w:r>
        <w:rPr>
          <w:rFonts w:hint="eastAsia" w:eastAsia="仿宋_GB2312"/>
          <w:b/>
          <w:bCs/>
          <w:sz w:val="32"/>
          <w:szCs w:val="32"/>
        </w:rPr>
        <w:t>基本</w:t>
      </w:r>
      <w:r>
        <w:rPr>
          <w:rFonts w:eastAsia="仿宋_GB2312"/>
          <w:b/>
          <w:bCs/>
          <w:sz w:val="32"/>
          <w:szCs w:val="32"/>
        </w:rPr>
        <w:t>情况。</w:t>
      </w:r>
    </w:p>
    <w:p>
      <w:pPr>
        <w:spacing w:line="640" w:lineRule="exact"/>
        <w:ind w:firstLine="700" w:firstLineChars="250"/>
        <w:rPr>
          <w:rFonts w:hint="eastAsia" w:ascii="宋体" w:hAnsi="宋体"/>
          <w:sz w:val="28"/>
          <w:szCs w:val="28"/>
        </w:rPr>
      </w:pPr>
      <w:r>
        <w:rPr>
          <w:rFonts w:hint="eastAsia" w:ascii="宋体" w:hAnsi="宋体"/>
          <w:sz w:val="28"/>
          <w:szCs w:val="28"/>
        </w:rPr>
        <w:t>2020年，围绕习近平新时代中国特色社会主义思想主题，共举办主体班11期，培训人数2140人次，承办联合班137期，培训人数10200人次；取得了干部学有所成、社会高度认可的好效果。</w:t>
      </w:r>
    </w:p>
    <w:p>
      <w:pPr>
        <w:spacing w:line="640" w:lineRule="exact"/>
        <w:ind w:firstLine="700" w:firstLineChars="250"/>
        <w:rPr>
          <w:rFonts w:hint="eastAsia" w:ascii="宋体" w:hAnsi="宋体"/>
          <w:sz w:val="28"/>
          <w:szCs w:val="28"/>
        </w:rPr>
      </w:pPr>
      <w:r>
        <w:rPr>
          <w:rFonts w:hint="eastAsia" w:ascii="宋体" w:hAnsi="宋体"/>
          <w:sz w:val="28"/>
          <w:szCs w:val="28"/>
        </w:rPr>
        <w:t>一是聚焦主业主课。党校姓党决定了要把党的理论教育，特别是习近平新时代中国特色社会主义思想、马克思主义基础理论作为主课主业。我校将“习近平新时代中国特色社会主义思想”作为独立单元模块进行系统深入学习，把最新的理论成果纳入培训体系，比如围绕《习近平谈治国理政》第三卷、《两会精神解读》、《学深悟透习近平总书记考察湖南的重要讲话精神》，邀请省市委党校的知名专家进行讲解，使党员干部紧跟党的理论创新步伐，自觉使用习近平新时代中国特色社会主义思想武装头脑、指导实践、推动工作，不断提高运用科学理论解决实际问题的能力。自</w:t>
      </w:r>
      <w:r>
        <w:rPr>
          <w:rFonts w:hint="eastAsia" w:ascii="宋体" w:hAnsi="宋体"/>
          <w:sz w:val="28"/>
          <w:szCs w:val="28"/>
          <w:lang w:eastAsia="zh-CN"/>
        </w:rPr>
        <w:t>“</w:t>
      </w:r>
      <w:r>
        <w:rPr>
          <w:rFonts w:hint="eastAsia" w:ascii="宋体" w:hAnsi="宋体"/>
          <w:sz w:val="28"/>
          <w:szCs w:val="28"/>
        </w:rPr>
        <w:t>四史</w:t>
      </w:r>
      <w:bookmarkStart w:id="0" w:name="_GoBack"/>
      <w:bookmarkEnd w:id="0"/>
      <w:r>
        <w:rPr>
          <w:rFonts w:hint="eastAsia" w:ascii="宋体" w:hAnsi="宋体"/>
          <w:sz w:val="28"/>
          <w:szCs w:val="28"/>
          <w:lang w:eastAsia="zh-CN"/>
        </w:rPr>
        <w:t>”</w:t>
      </w:r>
      <w:r>
        <w:rPr>
          <w:rFonts w:hint="eastAsia" w:ascii="宋体" w:hAnsi="宋体"/>
          <w:sz w:val="28"/>
          <w:szCs w:val="28"/>
        </w:rPr>
        <w:t>学习教育启动以来，我校第一时间打造《中国共产党的光辉历程及伟大成就》等课程，深入基层一线宣讲，深受学员好评。</w:t>
      </w:r>
    </w:p>
    <w:p>
      <w:pPr>
        <w:spacing w:line="640" w:lineRule="exact"/>
        <w:ind w:firstLine="700" w:firstLineChars="250"/>
        <w:rPr>
          <w:rFonts w:hint="eastAsia" w:ascii="宋体" w:hAnsi="宋体"/>
          <w:sz w:val="28"/>
          <w:szCs w:val="28"/>
        </w:rPr>
      </w:pPr>
      <w:r>
        <w:rPr>
          <w:rFonts w:hint="eastAsia" w:ascii="宋体" w:hAnsi="宋体"/>
          <w:sz w:val="28"/>
          <w:szCs w:val="28"/>
        </w:rPr>
        <w:t>二是创新教学逻辑。以《条例》为参照，新形势新任务下，教学逻辑创新要以用学术讲政治为指导原则。我校以此为契机，动员教师苦练教学基本功，深入进行“供给侧结构性改革”，在“去、降、补”上下足功夫，一是聚焦主题，进行瘦身、健身、强身，舍去冗余内容；二是降低讲课时间，让内容和语言更加鲜活，更加贴近生活、贴近实际、贴近群众；三是补齐短板，讲出学术含量，既要接地气，讲出乡土的气息，也要讲正气，讲出真理的味道。今年来，我校重点打造出了《马克思主义为什么行》、《中国共产党问责条例亮点解读》等学术味浓郁的精品课程。</w:t>
      </w:r>
    </w:p>
    <w:p>
      <w:pPr>
        <w:spacing w:line="640" w:lineRule="exact"/>
        <w:ind w:firstLine="700" w:firstLineChars="250"/>
        <w:rPr>
          <w:rFonts w:hint="eastAsia" w:ascii="宋体" w:hAnsi="宋体"/>
          <w:sz w:val="28"/>
          <w:szCs w:val="28"/>
        </w:rPr>
      </w:pPr>
      <w:r>
        <w:rPr>
          <w:rFonts w:hint="eastAsia" w:ascii="宋体" w:hAnsi="宋体"/>
          <w:sz w:val="28"/>
          <w:szCs w:val="28"/>
        </w:rPr>
        <w:t>三是丰富教学方式。我校紧紧围绕《条例》的要求，深入研究探索，大力推行教学方式创新，综合运用讲授式和案例式、模拟式、体验式等互动式教学方法，加大案例教学力度，推动案例库建设。今年我校结合区情、因地制宜地开发了两堂现场教学。在昔日的“臭水沟”、今日的“风光带”——圭塘河生态公园动情讲述《绿水青山就是金山银山——圭塘河流域综合治理经验与启示》、在1930年红军第二次攻打长沙时的前敌指挥部——白田肖家祠堂缅怀历史，开展《红军两次攻打长沙的历史回顾与价值启示》现场教学。</w:t>
      </w:r>
    </w:p>
    <w:p>
      <w:pPr>
        <w:pStyle w:val="12"/>
        <w:numPr>
          <w:ilvl w:val="0"/>
          <w:numId w:val="1"/>
        </w:numPr>
        <w:rPr>
          <w:rFonts w:hint="eastAsia" w:eastAsia="仿宋_GB2312"/>
          <w:b/>
          <w:bCs/>
          <w:sz w:val="32"/>
          <w:szCs w:val="32"/>
        </w:rPr>
      </w:pPr>
      <w:r>
        <w:rPr>
          <w:rFonts w:eastAsia="仿宋_GB2312"/>
          <w:b/>
          <w:bCs/>
          <w:sz w:val="32"/>
          <w:szCs w:val="32"/>
        </w:rPr>
        <w:t>项目资金管理情况。</w:t>
      </w:r>
    </w:p>
    <w:p>
      <w:pPr>
        <w:pStyle w:val="12"/>
        <w:ind w:firstLine="480" w:firstLineChars="200"/>
        <w:rPr>
          <w:rFonts w:hint="eastAsia" w:ascii="宋体" w:hAnsi="宋体" w:cs="宋体"/>
          <w:color w:val="000000"/>
          <w:kern w:val="0"/>
          <w:sz w:val="24"/>
        </w:rPr>
      </w:pPr>
      <w:r>
        <w:rPr>
          <w:rFonts w:hint="eastAsia" w:ascii="宋体" w:hAnsi="宋体" w:cs="宋体"/>
          <w:color w:val="000000"/>
          <w:kern w:val="0"/>
          <w:sz w:val="24"/>
        </w:rPr>
        <w:t>一是程序到位。对每次培训班的经费，首先是由党校教研室拿出方案（其中包括经费开支项目、内容、人中的核定、支出标准），报校委会审定后，经校长签出意见，由分管财经的副校长分别呈送区纪委书记、区委组织部长、区委副书记、区人民政府常务副区长审批后，交区财政局拨入经费指标。二是管理规范。区内培训班费用严格物资采购制度，所购培训物资经校委会审定后，由教研室、办公室和采购人员集中统一采购，老师授课费严格按中央和省、市、区培训班支付要求给予支付，异地培训班与培训方严格合同手续，并按合同协约支付一定的预付款60%-70%，待培训班结束后，按实际开支额再支付余下的款项。三是财务手续严格，所有培训班预付款。</w:t>
      </w:r>
    </w:p>
    <w:p>
      <w:pPr>
        <w:pStyle w:val="12"/>
        <w:numPr>
          <w:ilvl w:val="0"/>
          <w:numId w:val="1"/>
        </w:numPr>
        <w:rPr>
          <w:rFonts w:hint="eastAsia" w:eastAsia="仿宋_GB2312"/>
          <w:b/>
          <w:bCs/>
          <w:sz w:val="32"/>
          <w:szCs w:val="32"/>
        </w:rPr>
      </w:pPr>
      <w:r>
        <w:rPr>
          <w:rFonts w:eastAsia="仿宋_GB2312"/>
          <w:b/>
          <w:bCs/>
          <w:sz w:val="32"/>
          <w:szCs w:val="32"/>
        </w:rPr>
        <w:t>项目资金安排情况。</w:t>
      </w:r>
    </w:p>
    <w:p>
      <w:pPr>
        <w:pStyle w:val="12"/>
        <w:ind w:left="630"/>
        <w:rPr>
          <w:rFonts w:ascii="宋体" w:hAnsi="宋体"/>
          <w:sz w:val="24"/>
        </w:rPr>
      </w:pPr>
      <w:r>
        <w:rPr>
          <w:rFonts w:hint="eastAsia" w:ascii="宋体" w:hAnsi="宋体"/>
          <w:sz w:val="24"/>
        </w:rPr>
        <w:t>2020年全年11期主体培训班由区财政计划总投入150万元。</w:t>
      </w:r>
    </w:p>
    <w:tbl>
      <w:tblPr>
        <w:tblStyle w:val="4"/>
        <w:tblW w:w="5920" w:type="dxa"/>
        <w:tblInd w:w="93" w:type="dxa"/>
        <w:tblLayout w:type="autofit"/>
        <w:tblCellMar>
          <w:top w:w="0" w:type="dxa"/>
          <w:left w:w="108" w:type="dxa"/>
          <w:bottom w:w="0" w:type="dxa"/>
          <w:right w:w="108" w:type="dxa"/>
        </w:tblCellMar>
      </w:tblPr>
      <w:tblGrid>
        <w:gridCol w:w="1080"/>
        <w:gridCol w:w="2660"/>
        <w:gridCol w:w="2180"/>
      </w:tblGrid>
      <w:tr>
        <w:tblPrEx>
          <w:tblCellMar>
            <w:top w:w="0" w:type="dxa"/>
            <w:left w:w="108" w:type="dxa"/>
            <w:bottom w:w="0" w:type="dxa"/>
            <w:right w:w="108" w:type="dxa"/>
          </w:tblCellMar>
        </w:tblPrEx>
        <w:trPr>
          <w:trHeight w:val="675"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266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培训班名称</w:t>
            </w:r>
          </w:p>
        </w:tc>
        <w:tc>
          <w:tcPr>
            <w:tcW w:w="218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预算金额（万元）</w:t>
            </w:r>
          </w:p>
        </w:tc>
      </w:tr>
      <w:tr>
        <w:tblPrEx>
          <w:tblCellMar>
            <w:top w:w="0" w:type="dxa"/>
            <w:left w:w="108" w:type="dxa"/>
            <w:bottom w:w="0" w:type="dxa"/>
            <w:right w:w="108" w:type="dxa"/>
          </w:tblCellMar>
        </w:tblPrEx>
        <w:trPr>
          <w:trHeight w:val="780"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区属党组织书记培训班</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5.7</w:t>
            </w:r>
          </w:p>
        </w:tc>
      </w:tr>
      <w:tr>
        <w:tblPrEx>
          <w:tblCellMar>
            <w:top w:w="0" w:type="dxa"/>
            <w:left w:w="108" w:type="dxa"/>
            <w:bottom w:w="0" w:type="dxa"/>
            <w:right w:w="108" w:type="dxa"/>
          </w:tblCellMar>
        </w:tblPrEx>
        <w:trPr>
          <w:trHeight w:val="960"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基层党组织书记专题轮训班（第一批）</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15.5</w:t>
            </w:r>
          </w:p>
        </w:tc>
      </w:tr>
      <w:tr>
        <w:tblPrEx>
          <w:tblCellMar>
            <w:top w:w="0" w:type="dxa"/>
            <w:left w:w="108" w:type="dxa"/>
            <w:bottom w:w="0" w:type="dxa"/>
            <w:right w:w="108" w:type="dxa"/>
          </w:tblCellMar>
        </w:tblPrEx>
        <w:trPr>
          <w:trHeight w:val="94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基层党组织书记专题轮训班（第二批）</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15.5</w:t>
            </w:r>
          </w:p>
        </w:tc>
      </w:tr>
      <w:tr>
        <w:tblPrEx>
          <w:tblCellMar>
            <w:top w:w="0" w:type="dxa"/>
            <w:left w:w="108" w:type="dxa"/>
            <w:bottom w:w="0" w:type="dxa"/>
            <w:right w:w="108" w:type="dxa"/>
          </w:tblCellMar>
        </w:tblPrEx>
        <w:trPr>
          <w:trHeight w:val="870"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基层党组织书记专题轮训班（第三批）</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15.5</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党员发展对象培训班</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14.45</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对口扶贫龙山县基层干部培训班</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对口扶贫桑植县干部培训班</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17.36</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全区基层党员示范培训班</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18.1</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宣传工作思想研修班</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5.46</w:t>
            </w:r>
          </w:p>
        </w:tc>
      </w:tr>
      <w:tr>
        <w:tblPrEx>
          <w:tblCellMar>
            <w:top w:w="0" w:type="dxa"/>
            <w:left w:w="108" w:type="dxa"/>
            <w:bottom w:w="0" w:type="dxa"/>
            <w:right w:w="108" w:type="dxa"/>
          </w:tblCellMar>
        </w:tblPrEx>
        <w:trPr>
          <w:trHeight w:val="70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雨花区纪检监察干部履职能力提升班</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15.28</w:t>
            </w:r>
          </w:p>
        </w:tc>
      </w:tr>
      <w:tr>
        <w:tblPrEx>
          <w:tblCellMar>
            <w:top w:w="0" w:type="dxa"/>
            <w:left w:w="108" w:type="dxa"/>
            <w:bottom w:w="0" w:type="dxa"/>
            <w:right w:w="108" w:type="dxa"/>
          </w:tblCellMar>
        </w:tblPrEx>
        <w:trPr>
          <w:trHeight w:val="55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青年干部培训班</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6.64</w:t>
            </w:r>
          </w:p>
        </w:tc>
      </w:tr>
      <w:tr>
        <w:tblPrEx>
          <w:tblCellMar>
            <w:top w:w="0" w:type="dxa"/>
            <w:left w:w="108" w:type="dxa"/>
            <w:bottom w:w="0" w:type="dxa"/>
            <w:right w:w="108" w:type="dxa"/>
          </w:tblCellMar>
        </w:tblPrEx>
        <w:trPr>
          <w:trHeight w:val="540"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6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合计</w:t>
            </w:r>
          </w:p>
        </w:tc>
        <w:tc>
          <w:tcPr>
            <w:tcW w:w="218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145.49</w:t>
            </w:r>
          </w:p>
        </w:tc>
      </w:tr>
    </w:tbl>
    <w:p>
      <w:pPr>
        <w:pStyle w:val="12"/>
        <w:numPr>
          <w:ilvl w:val="0"/>
          <w:numId w:val="1"/>
        </w:numPr>
        <w:rPr>
          <w:rFonts w:hint="eastAsia" w:eastAsia="仿宋_GB2312"/>
          <w:b/>
          <w:bCs/>
          <w:sz w:val="32"/>
          <w:szCs w:val="32"/>
        </w:rPr>
      </w:pPr>
      <w:r>
        <w:rPr>
          <w:rFonts w:eastAsia="仿宋_GB2312"/>
          <w:b/>
          <w:bCs/>
          <w:sz w:val="32"/>
          <w:szCs w:val="32"/>
        </w:rPr>
        <w:t>项目资金使用情况。</w:t>
      </w:r>
    </w:p>
    <w:p>
      <w:pPr>
        <w:pStyle w:val="12"/>
        <w:ind w:firstLine="360" w:firstLineChars="150"/>
        <w:rPr>
          <w:rFonts w:ascii="宋体" w:hAnsi="宋体"/>
          <w:sz w:val="24"/>
        </w:rPr>
      </w:pPr>
      <w:r>
        <w:rPr>
          <w:rFonts w:hint="eastAsia" w:ascii="宋体" w:hAnsi="宋体"/>
          <w:sz w:val="24"/>
        </w:rPr>
        <w:t>2020年培训支出总额</w:t>
      </w:r>
      <w:r>
        <w:rPr>
          <w:rFonts w:hint="eastAsia" w:ascii="宋体" w:hAnsi="宋体" w:cs="宋体"/>
          <w:color w:val="000000"/>
          <w:sz w:val="24"/>
        </w:rPr>
        <w:t>55.9</w:t>
      </w:r>
      <w:r>
        <w:rPr>
          <w:rFonts w:hint="eastAsia" w:ascii="宋体" w:hAnsi="宋体"/>
          <w:sz w:val="24"/>
        </w:rPr>
        <w:t>万元，比预算支出节余开支94.1万元。其中节余的主要原因：因为疫情，有几个培训班没办以及培训人数减少。</w:t>
      </w:r>
    </w:p>
    <w:tbl>
      <w:tblPr>
        <w:tblStyle w:val="4"/>
        <w:tblW w:w="5680" w:type="dxa"/>
        <w:tblInd w:w="93" w:type="dxa"/>
        <w:tblLayout w:type="autofit"/>
        <w:tblCellMar>
          <w:top w:w="0" w:type="dxa"/>
          <w:left w:w="108" w:type="dxa"/>
          <w:bottom w:w="0" w:type="dxa"/>
          <w:right w:w="108" w:type="dxa"/>
        </w:tblCellMar>
      </w:tblPr>
      <w:tblGrid>
        <w:gridCol w:w="1080"/>
        <w:gridCol w:w="2660"/>
        <w:gridCol w:w="1940"/>
      </w:tblGrid>
      <w:tr>
        <w:tblPrEx>
          <w:tblCellMar>
            <w:top w:w="0" w:type="dxa"/>
            <w:left w:w="108" w:type="dxa"/>
            <w:bottom w:w="0" w:type="dxa"/>
            <w:right w:w="108" w:type="dxa"/>
          </w:tblCellMar>
        </w:tblPrEx>
        <w:trPr>
          <w:trHeight w:val="675" w:hRule="atLeast"/>
        </w:trPr>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266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培训班名称</w:t>
            </w:r>
          </w:p>
        </w:tc>
        <w:tc>
          <w:tcPr>
            <w:tcW w:w="1940"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黑体" w:hAnsi="黑体" w:eastAsia="黑体" w:cs="宋体"/>
                <w:color w:val="000000"/>
                <w:kern w:val="0"/>
                <w:sz w:val="24"/>
              </w:rPr>
            </w:pPr>
            <w:r>
              <w:rPr>
                <w:rFonts w:hint="eastAsia" w:ascii="黑体" w:hAnsi="黑体" w:eastAsia="黑体" w:cs="宋体"/>
                <w:color w:val="000000"/>
                <w:kern w:val="0"/>
                <w:sz w:val="24"/>
              </w:rPr>
              <w:t>实际开支（元）</w:t>
            </w:r>
          </w:p>
        </w:tc>
      </w:tr>
      <w:tr>
        <w:tblPrEx>
          <w:tblCellMar>
            <w:top w:w="0" w:type="dxa"/>
            <w:left w:w="108" w:type="dxa"/>
            <w:bottom w:w="0" w:type="dxa"/>
            <w:right w:w="108" w:type="dxa"/>
          </w:tblCellMar>
        </w:tblPrEx>
        <w:trPr>
          <w:trHeight w:val="780"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区属党组织书记培训班</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24265</w:t>
            </w:r>
          </w:p>
        </w:tc>
      </w:tr>
      <w:tr>
        <w:tblPrEx>
          <w:tblCellMar>
            <w:top w:w="0" w:type="dxa"/>
            <w:left w:w="108" w:type="dxa"/>
            <w:bottom w:w="0" w:type="dxa"/>
            <w:right w:w="108" w:type="dxa"/>
          </w:tblCellMar>
        </w:tblPrEx>
        <w:trPr>
          <w:trHeight w:val="960"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基层党组织书记专题轮训班（第一批）</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46960</w:t>
            </w:r>
          </w:p>
        </w:tc>
      </w:tr>
      <w:tr>
        <w:tblPrEx>
          <w:tblCellMar>
            <w:top w:w="0" w:type="dxa"/>
            <w:left w:w="108" w:type="dxa"/>
            <w:bottom w:w="0" w:type="dxa"/>
            <w:right w:w="108" w:type="dxa"/>
          </w:tblCellMar>
        </w:tblPrEx>
        <w:trPr>
          <w:trHeight w:val="94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基层党组织书记专题轮训班（第二批）</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42088</w:t>
            </w:r>
          </w:p>
        </w:tc>
      </w:tr>
      <w:tr>
        <w:tblPrEx>
          <w:tblCellMar>
            <w:top w:w="0" w:type="dxa"/>
            <w:left w:w="108" w:type="dxa"/>
            <w:bottom w:w="0" w:type="dxa"/>
            <w:right w:w="108" w:type="dxa"/>
          </w:tblCellMar>
        </w:tblPrEx>
        <w:trPr>
          <w:trHeight w:val="870"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基层党组织书记专题轮训班（第三批）</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44431</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党员发展对象培训班</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55925</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对口扶贫龙山县基层干部培训班</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54593</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对口扶贫桑植县干部培训班</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69230</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全区基层党员示范培训班</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13700</w:t>
            </w:r>
          </w:p>
        </w:tc>
      </w:tr>
      <w:tr>
        <w:tblPrEx>
          <w:tblCellMar>
            <w:top w:w="0" w:type="dxa"/>
            <w:left w:w="108" w:type="dxa"/>
            <w:bottom w:w="0" w:type="dxa"/>
            <w:right w:w="108" w:type="dxa"/>
          </w:tblCellMar>
        </w:tblPrEx>
        <w:trPr>
          <w:trHeight w:val="58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宣传工作思想研修班</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17046</w:t>
            </w:r>
          </w:p>
        </w:tc>
      </w:tr>
      <w:tr>
        <w:tblPrEx>
          <w:tblCellMar>
            <w:top w:w="0" w:type="dxa"/>
            <w:left w:w="108" w:type="dxa"/>
            <w:bottom w:w="0" w:type="dxa"/>
            <w:right w:w="108" w:type="dxa"/>
          </w:tblCellMar>
        </w:tblPrEx>
        <w:trPr>
          <w:trHeight w:val="70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雨花区纪检监察干部履职能力提升班</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128955</w:t>
            </w:r>
          </w:p>
        </w:tc>
      </w:tr>
      <w:tr>
        <w:tblPrEx>
          <w:tblCellMar>
            <w:top w:w="0" w:type="dxa"/>
            <w:left w:w="108" w:type="dxa"/>
            <w:bottom w:w="0" w:type="dxa"/>
            <w:right w:w="108" w:type="dxa"/>
          </w:tblCellMar>
        </w:tblPrEx>
        <w:trPr>
          <w:trHeight w:val="555"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26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青年干部培训班</w:t>
            </w:r>
          </w:p>
        </w:tc>
        <w:tc>
          <w:tcPr>
            <w:tcW w:w="19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61759</w:t>
            </w:r>
          </w:p>
        </w:tc>
      </w:tr>
      <w:tr>
        <w:tblPrEx>
          <w:tblCellMar>
            <w:top w:w="0" w:type="dxa"/>
            <w:left w:w="108" w:type="dxa"/>
            <w:bottom w:w="0" w:type="dxa"/>
            <w:right w:w="108" w:type="dxa"/>
          </w:tblCellMar>
        </w:tblPrEx>
        <w:trPr>
          <w:trHeight w:val="540" w:hRule="atLeast"/>
        </w:trPr>
        <w:tc>
          <w:tcPr>
            <w:tcW w:w="1080"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6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合计</w:t>
            </w:r>
          </w:p>
        </w:tc>
        <w:tc>
          <w:tcPr>
            <w:tcW w:w="19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558952</w:t>
            </w:r>
          </w:p>
        </w:tc>
      </w:tr>
    </w:tbl>
    <w:p>
      <w:pPr>
        <w:pStyle w:val="12"/>
        <w:numPr>
          <w:ilvl w:val="0"/>
          <w:numId w:val="1"/>
        </w:numPr>
        <w:rPr>
          <w:rFonts w:hint="eastAsia" w:eastAsia="仿宋_GB2312"/>
          <w:b/>
          <w:bCs/>
          <w:sz w:val="32"/>
          <w:szCs w:val="32"/>
        </w:rPr>
      </w:pPr>
      <w:r>
        <w:rPr>
          <w:rFonts w:eastAsia="仿宋_GB2312"/>
          <w:b/>
          <w:bCs/>
          <w:sz w:val="32"/>
          <w:szCs w:val="32"/>
        </w:rPr>
        <w:t>项目资金绩效完成情况。</w:t>
      </w:r>
    </w:p>
    <w:p>
      <w:pPr>
        <w:pStyle w:val="12"/>
        <w:ind w:firstLine="360" w:firstLineChars="150"/>
        <w:rPr>
          <w:rFonts w:hint="eastAsia" w:eastAsia="仿宋_GB2312"/>
          <w:b/>
          <w:bCs/>
          <w:sz w:val="32"/>
          <w:szCs w:val="32"/>
        </w:rPr>
      </w:pPr>
      <w:r>
        <w:rPr>
          <w:rFonts w:hint="eastAsia" w:ascii="宋体" w:hAnsi="宋体"/>
          <w:bCs/>
          <w:color w:val="000000"/>
          <w:sz w:val="24"/>
        </w:rPr>
        <w:t>按照区委干教领导小组的要求，一是在培训管理经费方面，实行统一申报，统一标准，统一审核，统一管理的原则，杜绝了乱开支的现象，由于精打细算，压缩开支，就2020年节余经费94.1万元。二是在自身管理方面，严格考核、考勤制度，不断完善考评机制，制定了重大事项民主决策制度，推行了新课试讲评价制度，这些制度的实施，有效的提高了党校效能作用的发挥。三是在学员管理方面，采用了一个教学培训方案，一个学员管理制度，一名老师跟班服务，一个教学测评体系的办法，训前充分调查研究，科学制定教学方案，筛选名师精品课程，有效的提高了培训的针对性和实效性。四是在深化教育教学改革方面，努力提高主体班的教学质量，不断调整教学内容，更新教学专题，大胆挖掘案例式、情景模拟式、研讨式教学方法，采用互动式的教学，开办了学员论坛，加大了培养名师建设，开发了新的课题专题，提高了绩效水平和教学质量。</w:t>
      </w:r>
    </w:p>
    <w:p>
      <w:pPr>
        <w:spacing w:line="57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六、主要经验及做法、存在的问题及原因分析或有关建议</w:t>
      </w:r>
    </w:p>
    <w:p>
      <w:pPr>
        <w:spacing w:line="640" w:lineRule="exact"/>
        <w:ind w:firstLine="480" w:firstLineChars="200"/>
        <w:rPr>
          <w:rFonts w:hint="eastAsia" w:ascii="宋体" w:hAnsi="宋体"/>
          <w:bCs/>
          <w:color w:val="000000"/>
          <w:sz w:val="24"/>
        </w:rPr>
      </w:pPr>
      <w:r>
        <w:rPr>
          <w:rFonts w:hint="eastAsia" w:ascii="宋体" w:hAnsi="宋体"/>
          <w:bCs/>
          <w:color w:val="000000"/>
          <w:sz w:val="24"/>
        </w:rPr>
        <w:t>2021年，区委党校将紧紧围绕十九届五中全会精神和建党一百周年这一当前主题开展主业主课工作，切实</w:t>
      </w:r>
      <w:r>
        <w:rPr>
          <w:rFonts w:ascii="宋体" w:hAnsi="宋体"/>
          <w:bCs/>
          <w:color w:val="000000"/>
          <w:sz w:val="24"/>
        </w:rPr>
        <w:t>增强做好新时代党校工作的政治责任感和历史使命感</w:t>
      </w:r>
      <w:r>
        <w:rPr>
          <w:rFonts w:hint="eastAsia" w:ascii="宋体" w:hAnsi="宋体"/>
          <w:bCs/>
          <w:color w:val="000000"/>
          <w:sz w:val="24"/>
        </w:rPr>
        <w:t>。</w:t>
      </w:r>
    </w:p>
    <w:p>
      <w:pPr>
        <w:spacing w:line="640" w:lineRule="exact"/>
        <w:ind w:firstLine="480" w:firstLineChars="200"/>
        <w:rPr>
          <w:rFonts w:hint="eastAsia" w:ascii="宋体" w:hAnsi="宋体"/>
          <w:bCs/>
          <w:color w:val="000000"/>
          <w:sz w:val="24"/>
        </w:rPr>
      </w:pPr>
      <w:r>
        <w:rPr>
          <w:rFonts w:hint="eastAsia" w:ascii="宋体" w:hAnsi="宋体"/>
          <w:bCs/>
          <w:color w:val="000000"/>
          <w:sz w:val="24"/>
        </w:rPr>
        <w:t>一是深入理论宣讲。围绕十九届五中全会精神和建党一百周年主题做好宣讲工作。根据宣传、组织、街镇社区等部门的意见需要，统筹全校课程资源，分主题、分片区制定宣讲计划，确保宣讲质量和受众数量，推进学习贯彻习近平新时代中国特色社会主义思想入深入实。</w:t>
      </w:r>
    </w:p>
    <w:p>
      <w:pPr>
        <w:spacing w:line="640" w:lineRule="exact"/>
        <w:ind w:firstLine="480" w:firstLineChars="200"/>
        <w:contextualSpacing/>
        <w:rPr>
          <w:rFonts w:ascii="宋体" w:hAnsi="宋体"/>
          <w:bCs/>
          <w:color w:val="000000"/>
          <w:sz w:val="24"/>
        </w:rPr>
      </w:pPr>
      <w:r>
        <w:rPr>
          <w:rFonts w:hint="eastAsia" w:ascii="宋体" w:hAnsi="宋体"/>
          <w:bCs/>
          <w:color w:val="000000"/>
          <w:sz w:val="24"/>
        </w:rPr>
        <w:t>二是办好主体班次。根据上级党校工作会议精神和区委要求，结合2020年干教培训主体班办班计划征求意见的汇总反馈，2021年将以继续做好习近平新时代中国特色社会主义思想和建党一百周年主题学习教育为主线，办好8个主体班次。</w:t>
      </w:r>
    </w:p>
    <w:p>
      <w:pPr>
        <w:spacing w:line="640" w:lineRule="exact"/>
        <w:ind w:firstLine="480" w:firstLineChars="200"/>
        <w:rPr>
          <w:rFonts w:ascii="宋体" w:hAnsi="宋体"/>
          <w:bCs/>
          <w:color w:val="000000"/>
          <w:sz w:val="24"/>
        </w:rPr>
      </w:pPr>
      <w:r>
        <w:rPr>
          <w:rFonts w:hint="eastAsia" w:ascii="宋体" w:hAnsi="宋体"/>
          <w:bCs/>
          <w:color w:val="000000"/>
          <w:sz w:val="24"/>
        </w:rPr>
        <w:t>三是推进党员教育。按照《党校工作条例》和《2019-2023年全国党员教育培训工作规划》要求，深入推进基层党员教育，2021年，继续加大与街镇党校的合作力度，完善合作办学的建章立制，开展大规模的党员教育就地培训，圆满完成区委要求的任务指标。</w:t>
      </w:r>
    </w:p>
    <w:p>
      <w:pPr>
        <w:pStyle w:val="12"/>
        <w:ind w:firstLine="480" w:firstLineChars="200"/>
        <w:rPr>
          <w:rFonts w:hint="eastAsia" w:ascii="宋体" w:hAnsi="宋体"/>
          <w:bCs/>
          <w:color w:val="000000"/>
          <w:sz w:val="24"/>
        </w:rPr>
      </w:pPr>
      <w:r>
        <w:rPr>
          <w:rFonts w:hint="eastAsia" w:ascii="宋体" w:hAnsi="宋体"/>
          <w:bCs/>
          <w:color w:val="000000"/>
          <w:sz w:val="24"/>
        </w:rPr>
        <w:t>1、加强理想信念教育。着力用科学理论武装干部头脑，培植干部的精神家园。科学设计党校主体班课程体系，确保理论教育和党性教育单元的课时不低于总课时的70%，其中党性教育单元课时不低于总课时的20%。结合“两学一做”</w:t>
      </w:r>
      <w:r>
        <w:rPr>
          <w:rFonts w:hint="eastAsia" w:ascii="宋体" w:hAnsi="宋体"/>
          <w:bCs/>
          <w:color w:val="000000"/>
          <w:sz w:val="24"/>
          <w:lang w:val="en-US" w:eastAsia="zh-CN"/>
        </w:rPr>
        <w:t>学习</w:t>
      </w:r>
      <w:r>
        <w:rPr>
          <w:rFonts w:hint="eastAsia" w:ascii="宋体" w:hAnsi="宋体"/>
          <w:bCs/>
          <w:color w:val="000000"/>
          <w:sz w:val="24"/>
        </w:rPr>
        <w:t>教育，大力加强习近平总书记系列重要讲话、十八届五中全会、《中国共产党廉洁自律准则》《中国共产党纪律处分条例》精神培训。</w:t>
      </w:r>
    </w:p>
    <w:p>
      <w:pPr>
        <w:pStyle w:val="12"/>
        <w:ind w:firstLine="480" w:firstLineChars="200"/>
        <w:rPr>
          <w:rFonts w:hint="eastAsia" w:ascii="宋体" w:hAnsi="宋体"/>
          <w:bCs/>
          <w:color w:val="000000"/>
          <w:sz w:val="24"/>
        </w:rPr>
      </w:pPr>
      <w:r>
        <w:rPr>
          <w:rFonts w:hint="eastAsia" w:ascii="宋体" w:hAnsi="宋体"/>
          <w:bCs/>
          <w:color w:val="000000"/>
          <w:sz w:val="24"/>
        </w:rPr>
        <w:t>2、强化履职能力提升培训。根据“干什么训什么、缺什么补什么”的原则，鼓励干部自学，创造条例集训，围绕干部履行岗位职责的需要，扎实开展领导干部导师研修培训。紧扣区委区政府中心工作，围绕改革能力提升、基层社会管理、新闻宣传与舆情引导、提升党建水平等组织专题培训，组织干部广泛学习社会主义现代化建设所需要的政治理论、党史党建、领导科学、公共管理、网络运用以及心理健康等各方面知识，优化干部知识结构，提升履职能力和水平。</w:t>
      </w:r>
    </w:p>
    <w:p>
      <w:pPr>
        <w:pStyle w:val="12"/>
        <w:ind w:firstLine="480" w:firstLineChars="200"/>
        <w:rPr>
          <w:rFonts w:hint="eastAsia" w:ascii="宋体" w:hAnsi="宋体"/>
          <w:bCs/>
          <w:color w:val="000000"/>
          <w:sz w:val="24"/>
        </w:rPr>
      </w:pPr>
      <w:r>
        <w:rPr>
          <w:rFonts w:hint="eastAsia" w:ascii="宋体" w:hAnsi="宋体"/>
          <w:bCs/>
          <w:color w:val="000000"/>
          <w:sz w:val="24"/>
        </w:rPr>
        <w:t>3、推进分级分类培训。重点突出县级干部和科级领导干部培训。把干部教育培训的普遍性要求与不同类别、不同层次、不同岗位干部的特殊需要结合起来，增强培训的针对性。对领导干部、中层骨干及专业技术人员等不同的培训对象，根据岗位特点和工作职责因地制宜、分类施教，有针对性地开展培训，实现干部教育培训统一性与差异性、系统性与针对性有机结合。继续开展干教向基层延伸的培训，大力提高村、社区干部能力素质。配合省委、市委做好县级领导干部的轮训、调训等教育培训工作。</w:t>
      </w:r>
    </w:p>
    <w:p>
      <w:pPr>
        <w:pStyle w:val="12"/>
        <w:ind w:firstLine="480" w:firstLineChars="200"/>
        <w:rPr>
          <w:rFonts w:hint="eastAsia" w:ascii="宋体" w:hAnsi="宋体"/>
          <w:bCs/>
          <w:color w:val="000000"/>
          <w:sz w:val="24"/>
        </w:rPr>
      </w:pPr>
      <w:r>
        <w:rPr>
          <w:rFonts w:hint="eastAsia" w:ascii="宋体" w:hAnsi="宋体"/>
          <w:bCs/>
          <w:color w:val="000000"/>
          <w:sz w:val="24"/>
        </w:rPr>
        <w:t>4、强化培训资源整合。根据培训专题和实际需要，积极拓展培训渠道，在继续加强与复旦大学、浙江大学、厦门大学等单位合作的基础上，积极探索“请进来”的培训模式，通过邀请知名的专家教授、学者、官员、行业精英来我区围绕区中心工作进行培训。积极探索互联网+干部教育的新模式，打造网上微课堂，提高干部教育的便捷性和实效性。</w:t>
      </w:r>
    </w:p>
    <w:p>
      <w:pPr>
        <w:pStyle w:val="12"/>
        <w:ind w:firstLine="480" w:firstLineChars="200"/>
        <w:rPr>
          <w:rFonts w:hint="eastAsia" w:ascii="宋体" w:hAnsi="宋体"/>
          <w:bCs/>
          <w:color w:val="000000"/>
          <w:sz w:val="24"/>
        </w:rPr>
      </w:pPr>
      <w:r>
        <w:rPr>
          <w:rFonts w:hint="eastAsia" w:ascii="宋体" w:hAnsi="宋体"/>
          <w:bCs/>
          <w:color w:val="000000"/>
          <w:sz w:val="24"/>
        </w:rPr>
        <w:t>5、推进师资队伍建设。推动落实领导干部上讲台制度，实现“教干部、干部教”良性循环，优化干部教育培训师资库，加大党校中青年骨干教师培养力度。建立干部讲师团，加大兼职教师队伍建设力度，让各级各类优秀人物走上干部教育培训讲台。</w:t>
      </w:r>
    </w:p>
    <w:p>
      <w:pPr>
        <w:pStyle w:val="12"/>
        <w:ind w:firstLine="480" w:firstLineChars="200"/>
        <w:rPr>
          <w:rFonts w:hint="eastAsia" w:ascii="宋体" w:hAnsi="宋体"/>
          <w:bCs/>
          <w:color w:val="000000"/>
          <w:sz w:val="24"/>
        </w:rPr>
      </w:pPr>
      <w:r>
        <w:rPr>
          <w:rFonts w:hint="eastAsia" w:ascii="宋体" w:hAnsi="宋体"/>
          <w:bCs/>
          <w:color w:val="000000"/>
          <w:sz w:val="24"/>
        </w:rPr>
        <w:t>6、优化教学基地建设。充分发挥区委党校主渠道、主体阵地作用。继续加强与井冈山干部学院、上海浦东区委党校、深圳市委党校等省内外优质特色教育基地的培训，形成远近结合、内外互补的教学平台。</w:t>
      </w:r>
    </w:p>
    <w:p>
      <w:pPr>
        <w:pStyle w:val="12"/>
        <w:ind w:firstLine="480" w:firstLineChars="200"/>
        <w:rPr>
          <w:rFonts w:hint="eastAsia" w:ascii="宋体" w:hAnsi="宋体"/>
          <w:bCs/>
          <w:color w:val="000000"/>
          <w:sz w:val="24"/>
        </w:rPr>
      </w:pPr>
      <w:r>
        <w:rPr>
          <w:rFonts w:hint="eastAsia" w:ascii="宋体" w:hAnsi="宋体"/>
          <w:bCs/>
          <w:color w:val="000000"/>
          <w:sz w:val="24"/>
        </w:rPr>
        <w:t>7、规范培训管理。充分发挥干部教育培训工作领导小组的宏观指导和沟通协调作用。组织部门切实履行牵头抓总职能，在研判教育培训形势、确定工作思路、制定政策制度等方面发挥主导作用。加强参训名单把关，防止重复培训，确保干部参训机会均等。</w:t>
      </w:r>
    </w:p>
    <w:p>
      <w:pPr>
        <w:pStyle w:val="12"/>
        <w:ind w:firstLine="480" w:firstLineChars="200"/>
        <w:rPr>
          <w:rFonts w:hint="eastAsia" w:ascii="宋体" w:hAnsi="宋体"/>
          <w:bCs/>
          <w:color w:val="000000"/>
          <w:sz w:val="24"/>
        </w:rPr>
      </w:pPr>
      <w:r>
        <w:rPr>
          <w:rFonts w:hint="eastAsia" w:ascii="宋体" w:hAnsi="宋体"/>
          <w:bCs/>
          <w:color w:val="000000"/>
          <w:sz w:val="24"/>
        </w:rPr>
        <w:t xml:space="preserve"> 8、加强学风建设和学员管理。把从严管理贯穿到干部教育培训全过程，完善组织跟班管理制度，加强学风监督，加大对违反培训纪律规定情况的定期通报力度，增强培训纪律执行的刚性。积极探索建立科学简单、行之有效的质量评估体系，对教学机构、授课教师及学员学习质量进行统筹评估。</w:t>
      </w:r>
    </w:p>
    <w:p>
      <w:pPr>
        <w:pStyle w:val="12"/>
        <w:ind w:firstLine="480" w:firstLineChars="200"/>
        <w:rPr>
          <w:rFonts w:hint="eastAsia" w:ascii="宋体" w:hAnsi="宋体"/>
          <w:bCs/>
          <w:color w:val="000000"/>
          <w:sz w:val="24"/>
        </w:rPr>
      </w:pPr>
      <w:r>
        <w:rPr>
          <w:rFonts w:hint="eastAsia" w:ascii="宋体" w:hAnsi="宋体"/>
          <w:bCs/>
          <w:color w:val="000000"/>
          <w:sz w:val="24"/>
        </w:rPr>
        <w:t>9、加强培训经费管理。严格培训经费管理，充分发挥培训经费的有效作用，严格经费报批手续，严格培训经费开支内容和程序，充分发扬民主，加强内部监督，严格财务报告制和公开制，做到科学管理、使用。</w:t>
      </w:r>
    </w:p>
    <w:p>
      <w:pPr>
        <w:pStyle w:val="12"/>
        <w:ind w:firstLine="480" w:firstLineChars="200"/>
        <w:rPr>
          <w:rFonts w:hint="eastAsia" w:ascii="宋体" w:hAnsi="宋体"/>
          <w:bCs/>
          <w:color w:val="000000"/>
          <w:sz w:val="24"/>
        </w:rPr>
      </w:pPr>
      <w:r>
        <w:rPr>
          <w:rFonts w:hint="eastAsia" w:ascii="宋体" w:hAnsi="宋体"/>
          <w:bCs/>
          <w:color w:val="000000"/>
          <w:sz w:val="24"/>
        </w:rPr>
        <w:t>10、注重成果转化。用好学员微信交流群，健全培训成果展示机制，组织参训干部采取形式多样的述学活动，全程跟踪成果转化情况。加强对全区干部教育工作的成功经验和有益做法进行总结提炼，做好培训成果转化文章。</w:t>
      </w:r>
    </w:p>
    <w:p>
      <w:pPr>
        <w:pStyle w:val="12"/>
        <w:ind w:firstLine="5760" w:firstLineChars="2400"/>
        <w:rPr>
          <w:rFonts w:hint="eastAsia" w:ascii="宋体" w:hAnsi="宋体"/>
          <w:bCs/>
          <w:color w:val="000000"/>
          <w:sz w:val="24"/>
        </w:rPr>
      </w:pPr>
    </w:p>
    <w:p>
      <w:pPr>
        <w:pStyle w:val="12"/>
        <w:ind w:firstLine="5760" w:firstLineChars="2400"/>
        <w:rPr>
          <w:rFonts w:hint="eastAsia" w:ascii="宋体" w:hAnsi="宋体"/>
          <w:bCs/>
          <w:color w:val="000000"/>
          <w:sz w:val="24"/>
        </w:rPr>
      </w:pPr>
      <w:r>
        <w:rPr>
          <w:rFonts w:hint="eastAsia" w:ascii="宋体" w:hAnsi="宋体"/>
          <w:bCs/>
          <w:color w:val="000000"/>
          <w:sz w:val="24"/>
        </w:rPr>
        <w:t>长沙市雨花区委党校</w:t>
      </w:r>
    </w:p>
    <w:p>
      <w:pPr>
        <w:pStyle w:val="12"/>
        <w:ind w:firstLine="5880" w:firstLineChars="2450"/>
        <w:rPr>
          <w:rFonts w:hint="eastAsia" w:ascii="宋体" w:hAnsi="宋体"/>
          <w:bCs/>
          <w:color w:val="000000"/>
          <w:sz w:val="24"/>
        </w:rPr>
      </w:pPr>
      <w:r>
        <w:rPr>
          <w:rFonts w:hint="eastAsia" w:ascii="宋体" w:hAnsi="宋体"/>
          <w:bCs/>
          <w:color w:val="000000"/>
          <w:sz w:val="24"/>
        </w:rPr>
        <w:t>2021年3月10日</w:t>
      </w:r>
    </w:p>
    <w:p>
      <w:pPr>
        <w:pStyle w:val="12"/>
        <w:ind w:firstLine="480" w:firstLineChars="200"/>
        <w:rPr>
          <w:rFonts w:hint="eastAsia" w:ascii="宋体" w:hAnsi="宋体"/>
          <w:bCs/>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97A3F"/>
    <w:multiLevelType w:val="multilevel"/>
    <w:tmpl w:val="5A497A3F"/>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YzE2MTc2OTJlODQ2ZjhjZWFmNWIyNjBjOTdjYmMifQ=="/>
  </w:docVars>
  <w:rsids>
    <w:rsidRoot w:val="2F7D712F"/>
    <w:rsid w:val="00060068"/>
    <w:rsid w:val="000D2114"/>
    <w:rsid w:val="00112F03"/>
    <w:rsid w:val="002C7685"/>
    <w:rsid w:val="00381DD3"/>
    <w:rsid w:val="00391D8D"/>
    <w:rsid w:val="00472E53"/>
    <w:rsid w:val="004E20B9"/>
    <w:rsid w:val="005423CD"/>
    <w:rsid w:val="006A4C16"/>
    <w:rsid w:val="006D1E3E"/>
    <w:rsid w:val="006E143C"/>
    <w:rsid w:val="00706E1C"/>
    <w:rsid w:val="00792A0A"/>
    <w:rsid w:val="007E01D3"/>
    <w:rsid w:val="007F1E22"/>
    <w:rsid w:val="00822F9F"/>
    <w:rsid w:val="0087141E"/>
    <w:rsid w:val="00927EDA"/>
    <w:rsid w:val="00A63D2F"/>
    <w:rsid w:val="00A73868"/>
    <w:rsid w:val="00B17B0D"/>
    <w:rsid w:val="00B616F6"/>
    <w:rsid w:val="00C95339"/>
    <w:rsid w:val="00DE4D4F"/>
    <w:rsid w:val="00E207F6"/>
    <w:rsid w:val="00F81A12"/>
    <w:rsid w:val="2BE10696"/>
    <w:rsid w:val="2F7D712F"/>
    <w:rsid w:val="3B1B4639"/>
    <w:rsid w:val="3EF03EB7"/>
    <w:rsid w:val="41E06EDA"/>
    <w:rsid w:val="4ABA2B6C"/>
    <w:rsid w:val="5ED90063"/>
    <w:rsid w:val="6094253D"/>
    <w:rsid w:val="60A575E3"/>
    <w:rsid w:val="62277E58"/>
    <w:rsid w:val="64DD09ED"/>
    <w:rsid w:val="6D1D02EE"/>
    <w:rsid w:val="79781D3D"/>
    <w:rsid w:val="7C31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styleId="10">
    <w:name w:val="List Paragraph"/>
    <w:basedOn w:val="1"/>
    <w:qFormat/>
    <w:uiPriority w:val="99"/>
    <w:pPr>
      <w:ind w:firstLine="420" w:firstLineChars="200"/>
    </w:pPr>
    <w:rPr>
      <w:rFonts w:ascii="Calibri" w:hAnsi="Calibri"/>
      <w:szCs w:val="22"/>
    </w:rPr>
  </w:style>
  <w:style w:type="character" w:customStyle="1" w:styleId="11">
    <w:name w:val="页眉 Char"/>
    <w:basedOn w:val="5"/>
    <w:link w:val="3"/>
    <w:qFormat/>
    <w:uiPriority w:val="0"/>
    <w:rPr>
      <w:kern w:val="2"/>
      <w:sz w:val="18"/>
      <w:szCs w:val="18"/>
    </w:rPr>
  </w:style>
  <w:style w:type="paragraph" w:customStyle="1" w:styleId="12">
    <w:name w:val="样式1"/>
    <w:basedOn w:val="1"/>
    <w:qFormat/>
    <w:uiPriority w:val="0"/>
    <w:pPr>
      <w:spacing w:line="640" w:lineRule="exac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14491</Words>
  <Characters>15155</Characters>
  <Lines>115</Lines>
  <Paragraphs>32</Paragraphs>
  <TotalTime>0</TotalTime>
  <ScaleCrop>false</ScaleCrop>
  <LinksUpToDate>false</LinksUpToDate>
  <CharactersWithSpaces>15334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2021-03-09T08:50:00Z</cp:lastPrinted>
  <dcterms:modified xsi:type="dcterms:W3CDTF">2023-03-10T08:19:29Z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4D856BDBE26C40038D3940889F5BD584</vt:lpwstr>
  </property>
</Properties>
</file>