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雨花区纪委监委</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　</w:t>
            </w:r>
            <w:r>
              <w:rPr>
                <w:rFonts w:hint="eastAsia"/>
                <w:kern w:val="0"/>
                <w:sz w:val="20"/>
                <w:szCs w:val="20"/>
              </w:rPr>
              <w:t>88</w:t>
            </w:r>
          </w:p>
        </w:tc>
        <w:tc>
          <w:tcPr>
            <w:tcW w:w="238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　</w:t>
            </w:r>
            <w:r>
              <w:rPr>
                <w:rFonts w:hint="eastAsia"/>
                <w:kern w:val="0"/>
                <w:sz w:val="20"/>
                <w:szCs w:val="20"/>
              </w:rPr>
              <w:t>86</w:t>
            </w:r>
          </w:p>
        </w:tc>
        <w:tc>
          <w:tcPr>
            <w:tcW w:w="192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5.7万元</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10.45万元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7.59万元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5.62万元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9.45万元</w:t>
            </w: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7.33万元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5.62万元</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9.45万元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7.33万元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0.08万元</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1万元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0.26万元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492.36万元</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532万元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231.95万元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267.99万元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294.41万元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221.64万元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12.3万元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26万元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26.03万元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7.33万元</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0.4万元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3.08万元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r>
              <w:rPr>
                <w:rFonts w:hint="eastAsia" w:ascii="宋体" w:hAnsi="宋体" w:cs="宋体"/>
                <w:kern w:val="0"/>
                <w:sz w:val="24"/>
              </w:rPr>
              <w:t>6万元</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1.08万元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73.68万元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13．09万元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2955.4万元　</w:t>
            </w:r>
          </w:p>
        </w:tc>
        <w:tc>
          <w:tcPr>
            <w:tcW w:w="238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3123.64万元</w:t>
            </w:r>
            <w:r>
              <w:rPr>
                <w:rFonts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2689.36万元</w:t>
            </w:r>
            <w:r>
              <w:rPr>
                <w:rFonts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实际</w:t>
            </w:r>
          </w:p>
          <w:p>
            <w:pPr>
              <w:widowControl/>
              <w:spacing w:line="320" w:lineRule="exact"/>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实际</w:t>
            </w:r>
          </w:p>
          <w:p>
            <w:pPr>
              <w:widowControl/>
              <w:spacing w:line="320" w:lineRule="exact"/>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投资</w:t>
            </w:r>
          </w:p>
          <w:p>
            <w:pPr>
              <w:widowControl/>
              <w:spacing w:line="320" w:lineRule="exact"/>
              <w:jc w:val="center"/>
              <w:rPr>
                <w:kern w:val="0"/>
                <w:sz w:val="20"/>
                <w:szCs w:val="20"/>
              </w:rPr>
            </w:pPr>
            <w:r>
              <w:rPr>
                <w:kern w:val="0"/>
                <w:sz w:val="20"/>
                <w:szCs w:val="20"/>
              </w:rPr>
              <w:t>概算</w:t>
            </w:r>
          </w:p>
          <w:p>
            <w:pPr>
              <w:widowControl/>
              <w:spacing w:line="320" w:lineRule="exact"/>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　</w:t>
            </w:r>
            <w:r>
              <w:rPr>
                <w:rFonts w:hint="eastAsia"/>
                <w:kern w:val="0"/>
                <w:sz w:val="20"/>
                <w:szCs w:val="20"/>
              </w:rPr>
              <w:t>0</w:t>
            </w:r>
          </w:p>
        </w:tc>
        <w:tc>
          <w:tcPr>
            <w:tcW w:w="805" w:type="dxa"/>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w:t>
            </w:r>
            <w:r>
              <w:rPr>
                <w:rFonts w:hint="eastAsia"/>
                <w:kern w:val="0"/>
                <w:sz w:val="20"/>
                <w:szCs w:val="20"/>
              </w:rPr>
              <w:t>0</w:t>
            </w:r>
          </w:p>
        </w:tc>
        <w:tc>
          <w:tcPr>
            <w:tcW w:w="1089" w:type="dxa"/>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spacing w:line="320" w:lineRule="exact"/>
              <w:jc w:val="left"/>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spacing w:line="320" w:lineRule="exact"/>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spacing w:line="320" w:lineRule="exact"/>
              <w:jc w:val="left"/>
              <w:rPr>
                <w:kern w:val="0"/>
                <w:sz w:val="20"/>
                <w:szCs w:val="20"/>
              </w:rPr>
            </w:pPr>
            <w:r>
              <w:rPr>
                <w:rFonts w:hint="eastAsia"/>
                <w:kern w:val="0"/>
                <w:sz w:val="20"/>
                <w:szCs w:val="20"/>
              </w:rPr>
              <w:t>按厉行节约规定严格控制经费支出，报送</w:t>
            </w:r>
            <w:r>
              <w:rPr>
                <w:rFonts w:hint="eastAsia"/>
                <w:kern w:val="0"/>
                <w:sz w:val="20"/>
                <w:szCs w:val="20"/>
                <w:lang w:eastAsia="zh-CN"/>
              </w:rPr>
              <w:t>厉</w:t>
            </w:r>
            <w:r>
              <w:rPr>
                <w:rFonts w:hint="eastAsia"/>
                <w:kern w:val="0"/>
                <w:sz w:val="20"/>
                <w:szCs w:val="20"/>
              </w:rPr>
              <w:t>行节约报表，公开三公经费使用情况</w:t>
            </w:r>
            <w:r>
              <w:rPr>
                <w:kern w:val="0"/>
                <w:sz w:val="20"/>
                <w:szCs w:val="20"/>
              </w:rPr>
              <w:t>　</w:t>
            </w:r>
          </w:p>
        </w:tc>
      </w:tr>
    </w:tbl>
    <w:p>
      <w:pPr>
        <w:spacing w:beforeLines="50" w:line="320" w:lineRule="exact"/>
        <w:rPr>
          <w:rFonts w:eastAsia="楷体_GB2312"/>
          <w:sz w:val="24"/>
        </w:rPr>
      </w:pPr>
      <w:r>
        <w:rPr>
          <w:rFonts w:eastAsia="楷体_GB2312"/>
          <w:kern w:val="0"/>
          <w:sz w:val="24"/>
        </w:rPr>
        <w:t>说明：“项目支出”需填报除公共专项资金和基本支出以外的所有项目情况，包括业务工作项目、运行维护项目等；“公用经费”填报基本支出中的一般商品和服务支出。</w:t>
      </w:r>
      <w:r>
        <w:rPr>
          <w:rFonts w:eastAsia="楷体_GB2312"/>
          <w:sz w:val="24"/>
        </w:rPr>
        <w:t xml:space="preserve"> </w:t>
      </w:r>
    </w:p>
    <w:p>
      <w:pPr>
        <w:widowControl/>
        <w:spacing w:beforeLines="50" w:line="60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投入</w:t>
            </w:r>
            <w:r>
              <w:rPr>
                <w:rStyle w:val="11"/>
                <w:sz w:val="20"/>
                <w:szCs w:val="20"/>
              </w:rPr>
              <w:br w:type="textWrapping"/>
            </w:r>
            <w:r>
              <w:rPr>
                <w:rStyle w:val="10"/>
                <w:rFonts w:hint="default"/>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目标</w:t>
            </w:r>
            <w:r>
              <w:rPr>
                <w:rStyle w:val="11"/>
                <w:sz w:val="20"/>
                <w:szCs w:val="20"/>
              </w:rPr>
              <w:br w:type="textWrapping"/>
            </w:r>
            <w:r>
              <w:rPr>
                <w:rStyle w:val="10"/>
                <w:rFonts w:hint="default"/>
                <w:sz w:val="20"/>
                <w:szCs w:val="20"/>
              </w:rPr>
              <w:t>设定</w:t>
            </w:r>
            <w:r>
              <w:rPr>
                <w:rStyle w:val="11"/>
                <w:sz w:val="20"/>
                <w:szCs w:val="20"/>
              </w:rPr>
              <w:br w:type="textWrapping"/>
            </w:r>
            <w:r>
              <w:rPr>
                <w:rStyle w:val="10"/>
                <w:rFonts w:hint="default"/>
                <w:sz w:val="20"/>
                <w:szCs w:val="20"/>
              </w:rPr>
              <w:t>（</w:t>
            </w:r>
            <w:r>
              <w:rPr>
                <w:rStyle w:val="11"/>
                <w:sz w:val="20"/>
                <w:szCs w:val="20"/>
              </w:rPr>
              <w:t>6</w:t>
            </w:r>
            <w:r>
              <w:rPr>
                <w:rStyle w:val="10"/>
                <w:rFonts w:hint="default"/>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绩效目标</w:t>
            </w:r>
            <w:r>
              <w:rPr>
                <w:rStyle w:val="11"/>
                <w:sz w:val="20"/>
                <w:szCs w:val="20"/>
              </w:rPr>
              <w:br w:type="textWrapping"/>
            </w:r>
            <w:r>
              <w:rPr>
                <w:rStyle w:val="10"/>
                <w:rFonts w:hint="default"/>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0"/>
                <w:rFonts w:hint="default"/>
                <w:sz w:val="20"/>
                <w:szCs w:val="20"/>
              </w:rPr>
              <w:t>①是否符合国家法律法规、国民经济和社会发展总体规划；</w:t>
            </w:r>
            <w:r>
              <w:rPr>
                <w:rStyle w:val="11"/>
                <w:sz w:val="20"/>
                <w:szCs w:val="20"/>
              </w:rPr>
              <w:br w:type="textWrapping"/>
            </w:r>
            <w:r>
              <w:rPr>
                <w:rStyle w:val="10"/>
                <w:rFonts w:hint="default"/>
                <w:sz w:val="20"/>
                <w:szCs w:val="20"/>
              </w:rPr>
              <w:t>②是否符合部门</w:t>
            </w:r>
            <w:r>
              <w:rPr>
                <w:rStyle w:val="11"/>
                <w:sz w:val="20"/>
                <w:szCs w:val="20"/>
              </w:rPr>
              <w:t>“</w:t>
            </w:r>
            <w:r>
              <w:rPr>
                <w:rStyle w:val="10"/>
                <w:rFonts w:hint="default"/>
                <w:sz w:val="20"/>
                <w:szCs w:val="20"/>
              </w:rPr>
              <w:t>三定</w:t>
            </w:r>
            <w:r>
              <w:rPr>
                <w:rStyle w:val="11"/>
                <w:sz w:val="20"/>
                <w:szCs w:val="20"/>
              </w:rPr>
              <w:t>”</w:t>
            </w:r>
            <w:r>
              <w:rPr>
                <w:rStyle w:val="10"/>
                <w:rFonts w:hint="default"/>
                <w:sz w:val="20"/>
                <w:szCs w:val="20"/>
              </w:rPr>
              <w:t>方案确定的职责；</w:t>
            </w:r>
            <w:r>
              <w:rPr>
                <w:rStyle w:val="11"/>
                <w:sz w:val="20"/>
                <w:szCs w:val="20"/>
              </w:rPr>
              <w:br w:type="textWrapping"/>
            </w:r>
            <w:r>
              <w:rPr>
                <w:rStyle w:val="10"/>
                <w:rFonts w:hint="default"/>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0"/>
                <w:rFonts w:hint="default"/>
                <w:sz w:val="20"/>
                <w:szCs w:val="20"/>
              </w:rPr>
              <w:t>①符合国家相关法律法规，本市国民经济和社会发展规划，计</w:t>
            </w:r>
            <w:r>
              <w:rPr>
                <w:rStyle w:val="11"/>
                <w:sz w:val="20"/>
                <w:szCs w:val="20"/>
              </w:rPr>
              <w:t>0.5</w:t>
            </w:r>
            <w:r>
              <w:rPr>
                <w:rStyle w:val="10"/>
                <w:rFonts w:hint="default"/>
                <w:sz w:val="20"/>
                <w:szCs w:val="20"/>
              </w:rPr>
              <w:t>分，否则不得分；</w:t>
            </w:r>
            <w:r>
              <w:rPr>
                <w:rStyle w:val="11"/>
                <w:sz w:val="20"/>
                <w:szCs w:val="20"/>
              </w:rPr>
              <w:br w:type="textWrapping"/>
            </w:r>
            <w:r>
              <w:rPr>
                <w:rStyle w:val="10"/>
                <w:rFonts w:hint="default"/>
                <w:sz w:val="20"/>
                <w:szCs w:val="20"/>
              </w:rPr>
              <w:t>②与部门（单位）职责密切相关，计</w:t>
            </w:r>
            <w:r>
              <w:rPr>
                <w:rStyle w:val="11"/>
                <w:sz w:val="20"/>
                <w:szCs w:val="20"/>
              </w:rPr>
              <w:t>0.5</w:t>
            </w:r>
            <w:r>
              <w:rPr>
                <w:rStyle w:val="10"/>
                <w:rFonts w:hint="default"/>
                <w:sz w:val="20"/>
                <w:szCs w:val="20"/>
              </w:rPr>
              <w:t>分，否则不得分；</w:t>
            </w:r>
            <w:r>
              <w:rPr>
                <w:rStyle w:val="11"/>
                <w:sz w:val="20"/>
                <w:szCs w:val="20"/>
              </w:rPr>
              <w:br w:type="textWrapping"/>
            </w:r>
            <w:r>
              <w:rPr>
                <w:rStyle w:val="10"/>
                <w:rFonts w:hint="default"/>
                <w:sz w:val="20"/>
                <w:szCs w:val="20"/>
              </w:rPr>
              <w:t>③符合部门制定的发展实施规划，计</w:t>
            </w:r>
            <w:r>
              <w:rPr>
                <w:rStyle w:val="11"/>
                <w:sz w:val="20"/>
                <w:szCs w:val="20"/>
              </w:rPr>
              <w:t>1</w:t>
            </w:r>
            <w:r>
              <w:rPr>
                <w:rStyle w:val="10"/>
                <w:rFonts w:hint="default"/>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0"/>
                <w:rFonts w:hint="default"/>
                <w:sz w:val="20"/>
                <w:szCs w:val="20"/>
              </w:rPr>
            </w:pPr>
            <w:r>
              <w:rPr>
                <w:rStyle w:val="10"/>
                <w:rFonts w:hint="default"/>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绩效指标</w:t>
            </w:r>
            <w:r>
              <w:rPr>
                <w:rStyle w:val="11"/>
                <w:sz w:val="20"/>
                <w:szCs w:val="20"/>
              </w:rPr>
              <w:br w:type="textWrapping"/>
            </w:r>
            <w:r>
              <w:rPr>
                <w:rStyle w:val="10"/>
                <w:rFonts w:hint="default"/>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0"/>
                <w:rFonts w:hint="default"/>
                <w:sz w:val="20"/>
                <w:szCs w:val="20"/>
              </w:rPr>
              <w:t>①是否将部门整体的绩效目标细化分解为具体的工作任务；</w:t>
            </w:r>
            <w:r>
              <w:rPr>
                <w:rStyle w:val="11"/>
                <w:sz w:val="20"/>
                <w:szCs w:val="20"/>
              </w:rPr>
              <w:br w:type="textWrapping"/>
            </w:r>
            <w:r>
              <w:rPr>
                <w:rStyle w:val="10"/>
                <w:rFonts w:hint="default"/>
                <w:sz w:val="20"/>
                <w:szCs w:val="20"/>
              </w:rPr>
              <w:t>②是否通过清晰、可衡量的指标值予以体现。</w:t>
            </w:r>
            <w:r>
              <w:rPr>
                <w:rStyle w:val="11"/>
                <w:sz w:val="20"/>
                <w:szCs w:val="20"/>
              </w:rPr>
              <w:br w:type="textWrapping"/>
            </w:r>
            <w:r>
              <w:rPr>
                <w:rStyle w:val="10"/>
                <w:rFonts w:hint="default"/>
                <w:sz w:val="20"/>
                <w:szCs w:val="20"/>
              </w:rPr>
              <w:t>③是否与部门年度的任务数或计划数相对应；</w:t>
            </w:r>
            <w:r>
              <w:rPr>
                <w:rStyle w:val="11"/>
                <w:sz w:val="20"/>
                <w:szCs w:val="20"/>
              </w:rPr>
              <w:br w:type="textWrapping"/>
            </w:r>
            <w:r>
              <w:rPr>
                <w:rStyle w:val="10"/>
                <w:rFonts w:hint="default"/>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0"/>
                <w:rFonts w:hint="default"/>
                <w:sz w:val="20"/>
                <w:szCs w:val="20"/>
              </w:rPr>
              <w:t>①有目标，计1分，否则不得分；</w:t>
            </w:r>
            <w:r>
              <w:rPr>
                <w:rStyle w:val="11"/>
                <w:sz w:val="20"/>
                <w:szCs w:val="20"/>
              </w:rPr>
              <w:br w:type="textWrapping"/>
            </w:r>
            <w:r>
              <w:rPr>
                <w:rStyle w:val="10"/>
                <w:rFonts w:hint="default"/>
                <w:sz w:val="20"/>
                <w:szCs w:val="20"/>
              </w:rPr>
              <w:t>②目标明确，细化量化良好，个性指标中量化指标超过</w:t>
            </w:r>
            <w:r>
              <w:rPr>
                <w:rStyle w:val="11"/>
                <w:sz w:val="20"/>
                <w:szCs w:val="20"/>
              </w:rPr>
              <w:t>3</w:t>
            </w:r>
            <w:r>
              <w:rPr>
                <w:rStyle w:val="10"/>
                <w:rFonts w:hint="default"/>
                <w:sz w:val="20"/>
                <w:szCs w:val="20"/>
              </w:rPr>
              <w:t>个，计1分，量化指标为</w:t>
            </w:r>
            <w:r>
              <w:rPr>
                <w:rStyle w:val="11"/>
                <w:sz w:val="20"/>
                <w:szCs w:val="20"/>
              </w:rPr>
              <w:t>2</w:t>
            </w:r>
            <w:r>
              <w:rPr>
                <w:rStyle w:val="10"/>
                <w:rFonts w:hint="default"/>
                <w:sz w:val="20"/>
                <w:szCs w:val="20"/>
              </w:rPr>
              <w:t>个，计</w:t>
            </w:r>
            <w:r>
              <w:rPr>
                <w:rStyle w:val="11"/>
                <w:sz w:val="20"/>
                <w:szCs w:val="20"/>
              </w:rPr>
              <w:t>0.5</w:t>
            </w:r>
            <w:r>
              <w:rPr>
                <w:rStyle w:val="10"/>
                <w:rFonts w:hint="default"/>
                <w:sz w:val="20"/>
                <w:szCs w:val="20"/>
              </w:rPr>
              <w:t>分，</w:t>
            </w:r>
            <w:r>
              <w:rPr>
                <w:rStyle w:val="11"/>
                <w:sz w:val="20"/>
                <w:szCs w:val="20"/>
              </w:rPr>
              <w:t>2</w:t>
            </w:r>
            <w:r>
              <w:rPr>
                <w:rStyle w:val="10"/>
                <w:rFonts w:hint="default"/>
                <w:sz w:val="20"/>
                <w:szCs w:val="20"/>
              </w:rPr>
              <w:t>个以下不得分；</w:t>
            </w:r>
            <w:r>
              <w:rPr>
                <w:rStyle w:val="11"/>
                <w:sz w:val="20"/>
                <w:szCs w:val="20"/>
              </w:rPr>
              <w:br w:type="textWrapping"/>
            </w:r>
            <w:r>
              <w:rPr>
                <w:rStyle w:val="10"/>
                <w:rFonts w:hint="default"/>
                <w:sz w:val="20"/>
                <w:szCs w:val="20"/>
              </w:rPr>
              <w:t>③与年度任务数或计划数相对应，计1分，低于</w:t>
            </w:r>
            <w:r>
              <w:rPr>
                <w:rStyle w:val="11"/>
                <w:sz w:val="20"/>
                <w:szCs w:val="20"/>
              </w:rPr>
              <w:t>2</w:t>
            </w:r>
            <w:r>
              <w:rPr>
                <w:rStyle w:val="10"/>
                <w:rFonts w:hint="default"/>
                <w:sz w:val="20"/>
                <w:szCs w:val="20"/>
              </w:rPr>
              <w:t>个，计0.5分，低于</w:t>
            </w:r>
            <w:r>
              <w:rPr>
                <w:rStyle w:val="11"/>
                <w:sz w:val="20"/>
                <w:szCs w:val="20"/>
              </w:rPr>
              <w:t>4</w:t>
            </w:r>
            <w:r>
              <w:rPr>
                <w:rStyle w:val="10"/>
                <w:rFonts w:hint="default"/>
                <w:sz w:val="20"/>
                <w:szCs w:val="20"/>
              </w:rPr>
              <w:t>个不得分；</w:t>
            </w:r>
            <w:r>
              <w:rPr>
                <w:rStyle w:val="11"/>
                <w:sz w:val="20"/>
                <w:szCs w:val="20"/>
              </w:rPr>
              <w:br w:type="textWrapping"/>
            </w:r>
            <w:r>
              <w:rPr>
                <w:rStyle w:val="10"/>
                <w:rFonts w:hint="default"/>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10"/>
                <w:rFonts w:hint="default"/>
                <w:sz w:val="20"/>
                <w:szCs w:val="20"/>
              </w:rPr>
            </w:pPr>
            <w:r>
              <w:rPr>
                <w:rStyle w:val="10"/>
                <w:rFonts w:hint="default"/>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预算</w:t>
            </w:r>
            <w:r>
              <w:rPr>
                <w:rStyle w:val="11"/>
                <w:sz w:val="20"/>
                <w:szCs w:val="20"/>
              </w:rPr>
              <w:br w:type="textWrapping"/>
            </w:r>
            <w:r>
              <w:rPr>
                <w:rStyle w:val="10"/>
                <w:rFonts w:hint="default"/>
                <w:sz w:val="20"/>
                <w:szCs w:val="20"/>
              </w:rPr>
              <w:t>配置</w:t>
            </w:r>
            <w:r>
              <w:rPr>
                <w:rStyle w:val="11"/>
                <w:sz w:val="20"/>
                <w:szCs w:val="20"/>
              </w:rPr>
              <w:br w:type="textWrapping"/>
            </w:r>
            <w:r>
              <w:rPr>
                <w:rStyle w:val="10"/>
                <w:rFonts w:hint="default"/>
                <w:sz w:val="20"/>
                <w:szCs w:val="20"/>
              </w:rPr>
              <w:t>（</w:t>
            </w:r>
            <w:r>
              <w:rPr>
                <w:rStyle w:val="11"/>
                <w:sz w:val="20"/>
                <w:szCs w:val="20"/>
              </w:rPr>
              <w:t>4</w:t>
            </w:r>
            <w:r>
              <w:rPr>
                <w:rStyle w:val="10"/>
                <w:rFonts w:hint="default"/>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10"/>
                <w:rFonts w:hint="default"/>
                <w:sz w:val="20"/>
                <w:szCs w:val="20"/>
              </w:rPr>
            </w:pPr>
            <w:r>
              <w:rPr>
                <w:rStyle w:val="10"/>
                <w:rFonts w:hint="default"/>
                <w:sz w:val="20"/>
                <w:szCs w:val="20"/>
              </w:rPr>
              <w:t>人员</w:t>
            </w:r>
          </w:p>
          <w:p>
            <w:pPr>
              <w:widowControl/>
              <w:spacing w:line="270" w:lineRule="exact"/>
              <w:jc w:val="center"/>
              <w:textAlignment w:val="center"/>
              <w:rPr>
                <w:color w:val="000000"/>
                <w:sz w:val="20"/>
                <w:szCs w:val="20"/>
              </w:rPr>
            </w:pPr>
            <w:r>
              <w:rPr>
                <w:rStyle w:val="10"/>
                <w:rFonts w:hint="default"/>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0"/>
                <w:rFonts w:hint="default"/>
                <w:sz w:val="20"/>
                <w:szCs w:val="20"/>
              </w:rPr>
              <w:t>在职人员控制率</w:t>
            </w:r>
            <w:r>
              <w:rPr>
                <w:rStyle w:val="11"/>
                <w:sz w:val="20"/>
                <w:szCs w:val="20"/>
              </w:rPr>
              <w:t>=</w:t>
            </w:r>
            <w:r>
              <w:rPr>
                <w:rStyle w:val="10"/>
                <w:rFonts w:hint="default"/>
                <w:sz w:val="20"/>
                <w:szCs w:val="20"/>
              </w:rPr>
              <w:t>（在职人员数</w:t>
            </w:r>
            <w:r>
              <w:rPr>
                <w:rStyle w:val="11"/>
                <w:sz w:val="20"/>
                <w:szCs w:val="20"/>
              </w:rPr>
              <w:t>/</w:t>
            </w:r>
            <w:r>
              <w:rPr>
                <w:rStyle w:val="10"/>
                <w:rFonts w:hint="default"/>
                <w:sz w:val="20"/>
                <w:szCs w:val="20"/>
              </w:rPr>
              <w:t>编制数）</w:t>
            </w:r>
            <w:r>
              <w:rPr>
                <w:rStyle w:val="11"/>
                <w:sz w:val="20"/>
                <w:szCs w:val="20"/>
              </w:rPr>
              <w:t>×100%</w:t>
            </w:r>
            <w:r>
              <w:rPr>
                <w:rStyle w:val="10"/>
                <w:rFonts w:hint="default"/>
                <w:sz w:val="20"/>
                <w:szCs w:val="20"/>
              </w:rPr>
              <w:t>。</w:t>
            </w:r>
            <w:r>
              <w:rPr>
                <w:rStyle w:val="11"/>
                <w:sz w:val="20"/>
                <w:szCs w:val="20"/>
              </w:rPr>
              <w:br w:type="textWrapping"/>
            </w:r>
            <w:r>
              <w:rPr>
                <w:rStyle w:val="10"/>
                <w:rFonts w:hint="default"/>
                <w:sz w:val="20"/>
                <w:szCs w:val="20"/>
              </w:rPr>
              <w:t>聘用人员控制率≦人社和编办共同批复的人数；</w:t>
            </w:r>
            <w:r>
              <w:rPr>
                <w:rStyle w:val="11"/>
                <w:sz w:val="20"/>
                <w:szCs w:val="20"/>
              </w:rPr>
              <w:br w:type="textWrapping"/>
            </w:r>
            <w:r>
              <w:rPr>
                <w:rStyle w:val="10"/>
                <w:rFonts w:hint="default"/>
                <w:sz w:val="20"/>
                <w:szCs w:val="20"/>
              </w:rPr>
              <w:t>在职人员数：部门（单位）实际在职人数</w:t>
            </w:r>
            <w:r>
              <w:rPr>
                <w:rStyle w:val="11"/>
                <w:sz w:val="20"/>
                <w:szCs w:val="20"/>
              </w:rPr>
              <w:t>，</w:t>
            </w:r>
            <w:r>
              <w:rPr>
                <w:rStyle w:val="10"/>
                <w:rFonts w:hint="default"/>
                <w:sz w:val="20"/>
                <w:szCs w:val="20"/>
              </w:rPr>
              <w:t>以财政部门确定的部门决算编制口径为准。</w:t>
            </w:r>
            <w:r>
              <w:rPr>
                <w:rStyle w:val="11"/>
                <w:sz w:val="20"/>
                <w:szCs w:val="20"/>
              </w:rPr>
              <w:br w:type="textWrapping"/>
            </w:r>
            <w:r>
              <w:rPr>
                <w:rStyle w:val="10"/>
                <w:rFonts w:hint="default"/>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0"/>
                <w:rFonts w:hint="default"/>
                <w:sz w:val="20"/>
                <w:szCs w:val="20"/>
              </w:rPr>
              <w:t>在职人员控制率≦</w:t>
            </w:r>
            <w:r>
              <w:rPr>
                <w:rStyle w:val="11"/>
                <w:sz w:val="20"/>
                <w:szCs w:val="20"/>
              </w:rPr>
              <w:t>100%</w:t>
            </w:r>
            <w:r>
              <w:rPr>
                <w:rStyle w:val="10"/>
                <w:rFonts w:hint="default"/>
                <w:sz w:val="20"/>
                <w:szCs w:val="20"/>
              </w:rPr>
              <w:t>计</w:t>
            </w:r>
            <w:r>
              <w:rPr>
                <w:rStyle w:val="11"/>
                <w:sz w:val="20"/>
                <w:szCs w:val="20"/>
              </w:rPr>
              <w:t>2</w:t>
            </w:r>
            <w:r>
              <w:rPr>
                <w:rStyle w:val="10"/>
                <w:rFonts w:hint="default"/>
                <w:sz w:val="20"/>
                <w:szCs w:val="20"/>
              </w:rPr>
              <w:t>分，每超出</w:t>
            </w:r>
            <w:r>
              <w:rPr>
                <w:rStyle w:val="11"/>
                <w:sz w:val="20"/>
                <w:szCs w:val="20"/>
              </w:rPr>
              <w:t>1%</w:t>
            </w:r>
            <w:r>
              <w:rPr>
                <w:rStyle w:val="10"/>
                <w:rFonts w:hint="default"/>
                <w:sz w:val="20"/>
                <w:szCs w:val="20"/>
              </w:rPr>
              <w:t>扣</w:t>
            </w:r>
            <w:r>
              <w:rPr>
                <w:rStyle w:val="11"/>
                <w:sz w:val="20"/>
                <w:szCs w:val="20"/>
              </w:rPr>
              <w:t>0.2</w:t>
            </w:r>
            <w:r>
              <w:rPr>
                <w:rStyle w:val="10"/>
                <w:rFonts w:hint="default"/>
                <w:sz w:val="20"/>
                <w:szCs w:val="20"/>
              </w:rPr>
              <w:t>分，扣完为止。</w:t>
            </w:r>
            <w:r>
              <w:rPr>
                <w:rStyle w:val="11"/>
                <w:sz w:val="20"/>
                <w:szCs w:val="20"/>
              </w:rPr>
              <w:br w:type="textWrapping"/>
            </w:r>
            <w:r>
              <w:rPr>
                <w:rStyle w:val="12"/>
                <w:rFonts w:hint="default"/>
                <w:sz w:val="20"/>
                <w:szCs w:val="20"/>
              </w:rPr>
              <w:t>聘用人员实际使用数小于等于编办人社部门批复数，计</w:t>
            </w:r>
            <w:r>
              <w:rPr>
                <w:rStyle w:val="13"/>
                <w:sz w:val="20"/>
                <w:szCs w:val="20"/>
              </w:rPr>
              <w:t>2</w:t>
            </w:r>
            <w:r>
              <w:rPr>
                <w:rStyle w:val="12"/>
                <w:rFonts w:hint="default"/>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0"/>
                <w:rFonts w:hint="default"/>
                <w:sz w:val="20"/>
                <w:szCs w:val="20"/>
              </w:rPr>
            </w:pPr>
            <w:r>
              <w:rPr>
                <w:rStyle w:val="10"/>
                <w:rFonts w:hint="default"/>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0"/>
                <w:rFonts w:hint="default"/>
                <w:sz w:val="20"/>
                <w:szCs w:val="20"/>
              </w:rPr>
              <w:t>过程</w:t>
            </w:r>
            <w:r>
              <w:rPr>
                <w:rStyle w:val="11"/>
                <w:sz w:val="20"/>
                <w:szCs w:val="20"/>
              </w:rPr>
              <w:br w:type="textWrapping"/>
            </w:r>
            <w:r>
              <w:rPr>
                <w:rStyle w:val="10"/>
                <w:rFonts w:hint="default"/>
                <w:sz w:val="20"/>
                <w:szCs w:val="20"/>
              </w:rPr>
              <w:t>（</w:t>
            </w:r>
            <w:r>
              <w:rPr>
                <w:rStyle w:val="11"/>
                <w:sz w:val="20"/>
                <w:szCs w:val="20"/>
              </w:rPr>
              <w:t>40</w:t>
            </w:r>
            <w:r>
              <w:rPr>
                <w:rStyle w:val="10"/>
                <w:rFonts w:hint="default"/>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10"/>
                <w:rFonts w:hint="default"/>
                <w:sz w:val="20"/>
                <w:szCs w:val="20"/>
              </w:rPr>
            </w:pPr>
            <w:r>
              <w:rPr>
                <w:rStyle w:val="10"/>
                <w:rFonts w:hint="default"/>
                <w:sz w:val="20"/>
                <w:szCs w:val="20"/>
              </w:rPr>
              <w:t>预算</w:t>
            </w:r>
          </w:p>
          <w:p>
            <w:pPr>
              <w:widowControl/>
              <w:spacing w:line="270" w:lineRule="exact"/>
              <w:jc w:val="center"/>
              <w:textAlignment w:val="center"/>
              <w:rPr>
                <w:color w:val="000000"/>
                <w:sz w:val="20"/>
                <w:szCs w:val="20"/>
              </w:rPr>
            </w:pPr>
            <w:r>
              <w:rPr>
                <w:rStyle w:val="10"/>
                <w:rFonts w:hint="default"/>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0"/>
                <w:rFonts w:hint="default"/>
                <w:sz w:val="20"/>
                <w:szCs w:val="20"/>
              </w:rPr>
              <w:t>①预算完成率</w:t>
            </w:r>
            <w:r>
              <w:rPr>
                <w:rStyle w:val="11"/>
                <w:sz w:val="20"/>
                <w:szCs w:val="20"/>
              </w:rPr>
              <w:t>=</w:t>
            </w:r>
            <w:r>
              <w:rPr>
                <w:rStyle w:val="10"/>
                <w:rFonts w:hint="default"/>
                <w:sz w:val="20"/>
                <w:szCs w:val="20"/>
              </w:rPr>
              <w:t>（预算完成数</w:t>
            </w:r>
            <w:r>
              <w:rPr>
                <w:rStyle w:val="11"/>
                <w:sz w:val="20"/>
                <w:szCs w:val="20"/>
              </w:rPr>
              <w:t>/</w:t>
            </w:r>
            <w:r>
              <w:rPr>
                <w:rStyle w:val="10"/>
                <w:rFonts w:hint="default"/>
                <w:sz w:val="20"/>
                <w:szCs w:val="20"/>
              </w:rPr>
              <w:t>预算数）</w:t>
            </w:r>
            <w:r>
              <w:rPr>
                <w:rStyle w:val="11"/>
                <w:sz w:val="20"/>
                <w:szCs w:val="20"/>
              </w:rPr>
              <w:t>×100%</w:t>
            </w:r>
            <w:r>
              <w:rPr>
                <w:rStyle w:val="10"/>
                <w:rFonts w:hint="default"/>
                <w:sz w:val="20"/>
                <w:szCs w:val="20"/>
              </w:rPr>
              <w:t>。</w:t>
            </w:r>
            <w:r>
              <w:rPr>
                <w:rStyle w:val="11"/>
                <w:sz w:val="20"/>
                <w:szCs w:val="20"/>
              </w:rPr>
              <w:br w:type="textWrapping"/>
            </w:r>
            <w:r>
              <w:rPr>
                <w:rStyle w:val="10"/>
                <w:rFonts w:hint="default"/>
                <w:sz w:val="20"/>
                <w:szCs w:val="20"/>
              </w:rPr>
              <w:t>预算完成数：部门（单位）本年度实际完成的预算数。</w:t>
            </w:r>
            <w:r>
              <w:rPr>
                <w:rStyle w:val="11"/>
                <w:sz w:val="20"/>
                <w:szCs w:val="20"/>
              </w:rPr>
              <w:br w:type="textWrapping"/>
            </w:r>
            <w:r>
              <w:rPr>
                <w:rStyle w:val="10"/>
                <w:rFonts w:hint="default"/>
                <w:sz w:val="20"/>
                <w:szCs w:val="20"/>
              </w:rPr>
              <w:t>预算数：财政部门批复的本年度部门（单位）预算数及追加的项目预算数。</w:t>
            </w:r>
            <w:r>
              <w:rPr>
                <w:rStyle w:val="11"/>
                <w:sz w:val="20"/>
                <w:szCs w:val="20"/>
              </w:rPr>
              <w:br w:type="textWrapping"/>
            </w:r>
            <w:r>
              <w:rPr>
                <w:rStyle w:val="10"/>
                <w:rFonts w:hint="default"/>
                <w:sz w:val="20"/>
                <w:szCs w:val="20"/>
              </w:rPr>
              <w:t>②支付序时进度</w:t>
            </w:r>
            <w:r>
              <w:rPr>
                <w:rStyle w:val="11"/>
                <w:sz w:val="20"/>
                <w:szCs w:val="20"/>
              </w:rPr>
              <w:t>=</w:t>
            </w:r>
            <w:r>
              <w:rPr>
                <w:rStyle w:val="10"/>
                <w:rFonts w:hint="default"/>
                <w:sz w:val="20"/>
                <w:szCs w:val="20"/>
              </w:rPr>
              <w:t>（序时执行数</w:t>
            </w:r>
            <w:r>
              <w:rPr>
                <w:rStyle w:val="11"/>
                <w:sz w:val="20"/>
                <w:szCs w:val="20"/>
              </w:rPr>
              <w:t>/</w:t>
            </w:r>
            <w:r>
              <w:rPr>
                <w:rStyle w:val="10"/>
                <w:rFonts w:hint="default"/>
                <w:sz w:val="20"/>
                <w:szCs w:val="20"/>
              </w:rPr>
              <w:t>序时指标下达数）</w:t>
            </w:r>
            <w:r>
              <w:rPr>
                <w:rStyle w:val="11"/>
                <w:sz w:val="20"/>
                <w:szCs w:val="20"/>
              </w:rPr>
              <w:t>×100%</w:t>
            </w:r>
            <w:r>
              <w:rPr>
                <w:rStyle w:val="10"/>
                <w:rFonts w:hint="default"/>
                <w:sz w:val="20"/>
                <w:szCs w:val="20"/>
              </w:rPr>
              <w:t>。</w:t>
            </w:r>
            <w:r>
              <w:rPr>
                <w:rStyle w:val="11"/>
                <w:sz w:val="20"/>
                <w:szCs w:val="20"/>
              </w:rPr>
              <w:br w:type="textWrapping"/>
            </w:r>
            <w:r>
              <w:rPr>
                <w:rStyle w:val="10"/>
                <w:rFonts w:hint="default"/>
                <w:sz w:val="20"/>
                <w:szCs w:val="20"/>
              </w:rPr>
              <w:t>序时执行数：指按时间节点部门预算项目实际支出数。序时指标下达数：按时间节点给部门预算下达的项目支出和追加的项目支出指标数之和。</w:t>
            </w:r>
            <w:r>
              <w:rPr>
                <w:rStyle w:val="11"/>
                <w:sz w:val="20"/>
                <w:szCs w:val="20"/>
              </w:rPr>
              <w:br w:type="textWrapping"/>
            </w:r>
            <w:r>
              <w:rPr>
                <w:rStyle w:val="10"/>
                <w:rFonts w:hint="default"/>
                <w:sz w:val="20"/>
                <w:szCs w:val="20"/>
              </w:rPr>
              <w:t>③部门预算项目支出调剂到区县。</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0"/>
                <w:rFonts w:hint="default"/>
                <w:sz w:val="20"/>
                <w:szCs w:val="20"/>
              </w:rPr>
              <w:t>①全年预算完成率</w:t>
            </w:r>
            <w:r>
              <w:rPr>
                <w:rStyle w:val="11"/>
                <w:sz w:val="20"/>
                <w:szCs w:val="20"/>
              </w:rPr>
              <w:t>95%</w:t>
            </w:r>
            <w:r>
              <w:rPr>
                <w:rStyle w:val="10"/>
                <w:rFonts w:hint="default"/>
                <w:sz w:val="20"/>
                <w:szCs w:val="20"/>
              </w:rPr>
              <w:t>以上计</w:t>
            </w:r>
            <w:r>
              <w:rPr>
                <w:rStyle w:val="11"/>
                <w:sz w:val="20"/>
                <w:szCs w:val="20"/>
              </w:rPr>
              <w:t>2</w:t>
            </w:r>
            <w:r>
              <w:rPr>
                <w:rStyle w:val="10"/>
                <w:rFonts w:hint="default"/>
                <w:sz w:val="20"/>
                <w:szCs w:val="20"/>
              </w:rPr>
              <w:t>分，</w:t>
            </w:r>
            <w:r>
              <w:rPr>
                <w:rStyle w:val="11"/>
                <w:sz w:val="20"/>
                <w:szCs w:val="20"/>
              </w:rPr>
              <w:t>95-90%</w:t>
            </w:r>
            <w:r>
              <w:rPr>
                <w:rStyle w:val="10"/>
                <w:rFonts w:hint="default"/>
                <w:sz w:val="20"/>
                <w:szCs w:val="20"/>
              </w:rPr>
              <w:t>（含），计</w:t>
            </w:r>
            <w:r>
              <w:rPr>
                <w:rStyle w:val="11"/>
                <w:sz w:val="20"/>
                <w:szCs w:val="20"/>
              </w:rPr>
              <w:t>1.5</w:t>
            </w:r>
            <w:r>
              <w:rPr>
                <w:rStyle w:val="10"/>
                <w:rFonts w:hint="default"/>
                <w:sz w:val="20"/>
                <w:szCs w:val="20"/>
              </w:rPr>
              <w:t>分，</w:t>
            </w:r>
            <w:r>
              <w:rPr>
                <w:rStyle w:val="11"/>
                <w:sz w:val="20"/>
                <w:szCs w:val="20"/>
              </w:rPr>
              <w:t>90-80%</w:t>
            </w:r>
            <w:r>
              <w:rPr>
                <w:rStyle w:val="10"/>
                <w:rFonts w:hint="default"/>
                <w:sz w:val="20"/>
                <w:szCs w:val="20"/>
              </w:rPr>
              <w:t>（含），计</w:t>
            </w:r>
            <w:r>
              <w:rPr>
                <w:rStyle w:val="11"/>
                <w:sz w:val="20"/>
                <w:szCs w:val="20"/>
              </w:rPr>
              <w:t>1</w:t>
            </w:r>
            <w:r>
              <w:rPr>
                <w:rStyle w:val="10"/>
                <w:rFonts w:hint="default"/>
                <w:sz w:val="20"/>
                <w:szCs w:val="20"/>
              </w:rPr>
              <w:t>分，小于</w:t>
            </w:r>
            <w:r>
              <w:rPr>
                <w:rStyle w:val="11"/>
                <w:sz w:val="20"/>
                <w:szCs w:val="20"/>
              </w:rPr>
              <w:t>80%</w:t>
            </w:r>
            <w:r>
              <w:rPr>
                <w:rStyle w:val="10"/>
                <w:rFonts w:hint="default"/>
                <w:sz w:val="20"/>
                <w:szCs w:val="20"/>
              </w:rPr>
              <w:t>不得分；</w:t>
            </w:r>
            <w:r>
              <w:rPr>
                <w:rStyle w:val="11"/>
                <w:sz w:val="20"/>
                <w:szCs w:val="20"/>
              </w:rPr>
              <w:br w:type="textWrapping"/>
            </w:r>
            <w:r>
              <w:rPr>
                <w:rStyle w:val="10"/>
                <w:rFonts w:hint="default"/>
                <w:sz w:val="20"/>
                <w:szCs w:val="20"/>
              </w:rPr>
              <w:t>②一、二、三季度末支付序时进度分别达到</w:t>
            </w:r>
            <w:r>
              <w:rPr>
                <w:rStyle w:val="11"/>
                <w:sz w:val="20"/>
                <w:szCs w:val="20"/>
              </w:rPr>
              <w:t>20%</w:t>
            </w:r>
            <w:r>
              <w:rPr>
                <w:rStyle w:val="10"/>
                <w:rFonts w:hint="default"/>
                <w:sz w:val="20"/>
                <w:szCs w:val="20"/>
              </w:rPr>
              <w:t>、</w:t>
            </w:r>
            <w:r>
              <w:rPr>
                <w:rStyle w:val="11"/>
                <w:sz w:val="20"/>
                <w:szCs w:val="20"/>
              </w:rPr>
              <w:t>50%</w:t>
            </w:r>
            <w:r>
              <w:rPr>
                <w:rStyle w:val="10"/>
                <w:rFonts w:hint="default"/>
                <w:sz w:val="20"/>
                <w:szCs w:val="20"/>
              </w:rPr>
              <w:t>、</w:t>
            </w:r>
            <w:r>
              <w:rPr>
                <w:rStyle w:val="11"/>
                <w:sz w:val="20"/>
                <w:szCs w:val="20"/>
              </w:rPr>
              <w:t>80%</w:t>
            </w:r>
            <w:r>
              <w:rPr>
                <w:rStyle w:val="10"/>
                <w:rFonts w:hint="default"/>
                <w:sz w:val="20"/>
                <w:szCs w:val="20"/>
              </w:rPr>
              <w:t>（含）以上计</w:t>
            </w:r>
            <w:r>
              <w:rPr>
                <w:rStyle w:val="11"/>
                <w:sz w:val="20"/>
                <w:szCs w:val="20"/>
              </w:rPr>
              <w:t>2</w:t>
            </w:r>
            <w:r>
              <w:rPr>
                <w:rStyle w:val="10"/>
                <w:rFonts w:hint="default"/>
                <w:sz w:val="20"/>
                <w:szCs w:val="20"/>
              </w:rPr>
              <w:t>分，每低</w:t>
            </w:r>
            <w:r>
              <w:rPr>
                <w:rStyle w:val="11"/>
                <w:sz w:val="20"/>
                <w:szCs w:val="20"/>
              </w:rPr>
              <w:t>1</w:t>
            </w:r>
            <w:r>
              <w:rPr>
                <w:rStyle w:val="10"/>
                <w:rFonts w:hint="default"/>
                <w:sz w:val="20"/>
                <w:szCs w:val="20"/>
              </w:rPr>
              <w:t>个百分点扣</w:t>
            </w:r>
            <w:r>
              <w:rPr>
                <w:rStyle w:val="11"/>
                <w:sz w:val="20"/>
                <w:szCs w:val="20"/>
              </w:rPr>
              <w:t>0.2</w:t>
            </w:r>
            <w:r>
              <w:rPr>
                <w:rStyle w:val="10"/>
                <w:rFonts w:hint="default"/>
                <w:sz w:val="20"/>
                <w:szCs w:val="20"/>
              </w:rPr>
              <w:t>分，扣完为止。</w:t>
            </w:r>
            <w:r>
              <w:rPr>
                <w:rStyle w:val="11"/>
                <w:sz w:val="20"/>
                <w:szCs w:val="20"/>
              </w:rPr>
              <w:br w:type="textWrapping"/>
            </w:r>
            <w:r>
              <w:rPr>
                <w:rStyle w:val="10"/>
                <w:rFonts w:hint="default"/>
                <w:sz w:val="20"/>
                <w:szCs w:val="20"/>
              </w:rPr>
              <w:t>③部门预算项目支出调剂到区县小于等于项目支出</w:t>
            </w:r>
            <w:r>
              <w:rPr>
                <w:rStyle w:val="11"/>
                <w:sz w:val="20"/>
                <w:szCs w:val="20"/>
              </w:rPr>
              <w:t>2%</w:t>
            </w:r>
            <w:r>
              <w:rPr>
                <w:rStyle w:val="10"/>
                <w:rFonts w:hint="default"/>
                <w:sz w:val="20"/>
                <w:szCs w:val="20"/>
              </w:rPr>
              <w:t>，计</w:t>
            </w:r>
            <w:r>
              <w:rPr>
                <w:rStyle w:val="11"/>
                <w:sz w:val="20"/>
                <w:szCs w:val="20"/>
              </w:rPr>
              <w:t>2</w:t>
            </w:r>
            <w:r>
              <w:rPr>
                <w:rStyle w:val="10"/>
                <w:rFonts w:hint="default"/>
                <w:sz w:val="20"/>
                <w:szCs w:val="20"/>
              </w:rPr>
              <w:t>分；大于</w:t>
            </w:r>
            <w:r>
              <w:rPr>
                <w:rStyle w:val="11"/>
                <w:sz w:val="20"/>
                <w:szCs w:val="20"/>
              </w:rPr>
              <w:t>2%</w:t>
            </w:r>
            <w:r>
              <w:rPr>
                <w:rStyle w:val="10"/>
                <w:rFonts w:hint="default"/>
                <w:sz w:val="20"/>
                <w:szCs w:val="20"/>
              </w:rPr>
              <w:t>，不计分；</w:t>
            </w:r>
          </w:p>
        </w:tc>
        <w:tc>
          <w:tcPr>
            <w:tcW w:w="477" w:type="pct"/>
            <w:tcMar>
              <w:top w:w="15" w:type="dxa"/>
              <w:left w:w="15" w:type="dxa"/>
              <w:right w:w="15" w:type="dxa"/>
            </w:tcMar>
            <w:vAlign w:val="center"/>
          </w:tcPr>
          <w:p>
            <w:pPr>
              <w:widowControl/>
              <w:spacing w:line="270" w:lineRule="exact"/>
              <w:textAlignment w:val="center"/>
              <w:rPr>
                <w:rStyle w:val="10"/>
                <w:rFonts w:hint="default"/>
                <w:sz w:val="20"/>
                <w:szCs w:val="20"/>
              </w:rPr>
            </w:pPr>
            <w:r>
              <w:rPr>
                <w:rStyle w:val="10"/>
                <w:rFonts w:hint="default"/>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10"/>
                <w:rFonts w:hint="default"/>
                <w:sz w:val="20"/>
                <w:szCs w:val="20"/>
              </w:rPr>
              <w:t>过程</w:t>
            </w:r>
            <w:r>
              <w:rPr>
                <w:rStyle w:val="11"/>
                <w:sz w:val="20"/>
                <w:szCs w:val="20"/>
              </w:rPr>
              <w:br w:type="textWrapping"/>
            </w:r>
            <w:r>
              <w:rPr>
                <w:rStyle w:val="10"/>
                <w:rFonts w:hint="default"/>
                <w:sz w:val="20"/>
                <w:szCs w:val="20"/>
              </w:rPr>
              <w:t>（</w:t>
            </w:r>
            <w:r>
              <w:rPr>
                <w:rStyle w:val="11"/>
                <w:sz w:val="20"/>
                <w:szCs w:val="20"/>
              </w:rPr>
              <w:t>40</w:t>
            </w:r>
            <w:r>
              <w:rPr>
                <w:rStyle w:val="10"/>
                <w:rFonts w:hint="default"/>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10"/>
                <w:rFonts w:hint="default"/>
                <w:sz w:val="20"/>
                <w:szCs w:val="20"/>
              </w:rPr>
            </w:pPr>
            <w:r>
              <w:rPr>
                <w:rStyle w:val="10"/>
                <w:rFonts w:hint="default"/>
                <w:sz w:val="20"/>
                <w:szCs w:val="20"/>
              </w:rPr>
              <w:t>预算</w:t>
            </w:r>
          </w:p>
          <w:p>
            <w:pPr>
              <w:widowControl/>
              <w:spacing w:line="260" w:lineRule="exact"/>
              <w:jc w:val="center"/>
              <w:textAlignment w:val="center"/>
              <w:rPr>
                <w:color w:val="000000"/>
                <w:sz w:val="20"/>
                <w:szCs w:val="20"/>
              </w:rPr>
            </w:pPr>
            <w:r>
              <w:rPr>
                <w:rStyle w:val="10"/>
                <w:rFonts w:hint="default"/>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rFonts w:hint="default"/>
                <w:sz w:val="20"/>
                <w:szCs w:val="20"/>
              </w:rPr>
              <w:t>预算调整率</w:t>
            </w:r>
            <w:r>
              <w:rPr>
                <w:rStyle w:val="11"/>
                <w:sz w:val="20"/>
                <w:szCs w:val="20"/>
              </w:rPr>
              <w:t>=</w:t>
            </w:r>
            <w:r>
              <w:rPr>
                <w:rStyle w:val="10"/>
                <w:rFonts w:hint="default"/>
                <w:sz w:val="20"/>
                <w:szCs w:val="20"/>
              </w:rPr>
              <w:t>（预算调整数</w:t>
            </w:r>
            <w:r>
              <w:rPr>
                <w:rStyle w:val="11"/>
                <w:sz w:val="20"/>
                <w:szCs w:val="20"/>
              </w:rPr>
              <w:t>/</w:t>
            </w:r>
            <w:r>
              <w:rPr>
                <w:rStyle w:val="10"/>
                <w:rFonts w:hint="default"/>
                <w:sz w:val="20"/>
                <w:szCs w:val="20"/>
              </w:rPr>
              <w:t>预算数）</w:t>
            </w:r>
            <w:r>
              <w:rPr>
                <w:rStyle w:val="11"/>
                <w:sz w:val="20"/>
                <w:szCs w:val="20"/>
              </w:rPr>
              <w:t>×100%</w:t>
            </w:r>
            <w:r>
              <w:rPr>
                <w:rStyle w:val="10"/>
                <w:rFonts w:hint="default"/>
                <w:sz w:val="20"/>
                <w:szCs w:val="20"/>
              </w:rPr>
              <w:t>。</w:t>
            </w:r>
            <w:r>
              <w:rPr>
                <w:rStyle w:val="11"/>
                <w:sz w:val="20"/>
                <w:szCs w:val="20"/>
              </w:rPr>
              <w:br w:type="textWrapping"/>
            </w:r>
            <w:r>
              <w:rPr>
                <w:rStyle w:val="10"/>
                <w:rFonts w:hint="default"/>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rFonts w:hint="default"/>
                <w:sz w:val="20"/>
                <w:szCs w:val="20"/>
              </w:rPr>
              <w:t>预算调整率</w:t>
            </w:r>
            <w:r>
              <w:rPr>
                <w:rStyle w:val="11"/>
                <w:sz w:val="20"/>
                <w:szCs w:val="20"/>
              </w:rPr>
              <w:t>&lt;5%</w:t>
            </w:r>
            <w:r>
              <w:rPr>
                <w:rStyle w:val="10"/>
                <w:rFonts w:hint="default"/>
                <w:sz w:val="20"/>
                <w:szCs w:val="20"/>
              </w:rPr>
              <w:t>，计</w:t>
            </w:r>
            <w:r>
              <w:rPr>
                <w:rStyle w:val="11"/>
                <w:sz w:val="20"/>
                <w:szCs w:val="20"/>
              </w:rPr>
              <w:t>3</w:t>
            </w:r>
            <w:r>
              <w:rPr>
                <w:rStyle w:val="10"/>
                <w:rFonts w:hint="default"/>
                <w:sz w:val="20"/>
                <w:szCs w:val="20"/>
              </w:rPr>
              <w:t>分；</w:t>
            </w:r>
            <w:r>
              <w:rPr>
                <w:rStyle w:val="11"/>
                <w:sz w:val="20"/>
                <w:szCs w:val="20"/>
              </w:rPr>
              <w:t>5-10%</w:t>
            </w:r>
            <w:r>
              <w:rPr>
                <w:rStyle w:val="10"/>
                <w:rFonts w:hint="default"/>
                <w:sz w:val="20"/>
                <w:szCs w:val="20"/>
              </w:rPr>
              <w:t>（含），计</w:t>
            </w:r>
            <w:r>
              <w:rPr>
                <w:rStyle w:val="11"/>
                <w:sz w:val="20"/>
                <w:szCs w:val="20"/>
              </w:rPr>
              <w:t>1.5</w:t>
            </w:r>
            <w:r>
              <w:rPr>
                <w:rStyle w:val="10"/>
                <w:rFonts w:hint="default"/>
                <w:sz w:val="20"/>
                <w:szCs w:val="20"/>
              </w:rPr>
              <w:t>分；大于</w:t>
            </w:r>
            <w:r>
              <w:rPr>
                <w:rStyle w:val="11"/>
                <w:sz w:val="20"/>
                <w:szCs w:val="20"/>
              </w:rPr>
              <w:t>10%</w:t>
            </w:r>
            <w:r>
              <w:rPr>
                <w:rStyle w:val="10"/>
                <w:rFonts w:hint="default"/>
                <w:sz w:val="20"/>
                <w:szCs w:val="20"/>
              </w:rPr>
              <w:t>不得分。</w:t>
            </w:r>
          </w:p>
        </w:tc>
        <w:tc>
          <w:tcPr>
            <w:tcW w:w="477" w:type="pct"/>
            <w:tcMar>
              <w:top w:w="15" w:type="dxa"/>
              <w:left w:w="15" w:type="dxa"/>
              <w:right w:w="15" w:type="dxa"/>
            </w:tcMar>
            <w:vAlign w:val="center"/>
          </w:tcPr>
          <w:p>
            <w:pPr>
              <w:widowControl/>
              <w:spacing w:line="260" w:lineRule="exact"/>
              <w:textAlignment w:val="center"/>
              <w:rPr>
                <w:rStyle w:val="10"/>
                <w:rFonts w:hint="default"/>
                <w:sz w:val="20"/>
                <w:szCs w:val="20"/>
              </w:rPr>
            </w:pPr>
            <w:r>
              <w:rPr>
                <w:rStyle w:val="10"/>
                <w:rFonts w:hint="default"/>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根据市政府文件规定，预算单位年度安排的市级预算资金不能结转。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color w:val="000000"/>
                <w:kern w:val="0"/>
                <w:sz w:val="20"/>
                <w:szCs w:val="20"/>
              </w:rPr>
              <w:t>市本级资金无结转，计2分；有结转，不计分；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10"/>
                <w:rFonts w:hint="default"/>
                <w:sz w:val="20"/>
                <w:szCs w:val="20"/>
              </w:rPr>
            </w:pPr>
            <w:r>
              <w:rPr>
                <w:rStyle w:val="11"/>
                <w:sz w:val="20"/>
                <w:szCs w:val="20"/>
              </w:rPr>
              <w:t>“</w:t>
            </w:r>
            <w:r>
              <w:rPr>
                <w:rStyle w:val="10"/>
                <w:rFonts w:hint="default"/>
                <w:sz w:val="20"/>
                <w:szCs w:val="20"/>
              </w:rPr>
              <w:t>三公</w:t>
            </w:r>
          </w:p>
          <w:p>
            <w:pPr>
              <w:widowControl/>
              <w:spacing w:line="260" w:lineRule="exact"/>
              <w:jc w:val="center"/>
              <w:textAlignment w:val="center"/>
              <w:rPr>
                <w:rStyle w:val="11"/>
                <w:sz w:val="20"/>
                <w:szCs w:val="20"/>
              </w:rPr>
            </w:pPr>
            <w:r>
              <w:rPr>
                <w:rStyle w:val="10"/>
                <w:rFonts w:hint="default"/>
                <w:sz w:val="20"/>
                <w:szCs w:val="20"/>
              </w:rPr>
              <w:t>经费</w:t>
            </w:r>
            <w:r>
              <w:rPr>
                <w:rStyle w:val="11"/>
                <w:sz w:val="20"/>
                <w:szCs w:val="20"/>
              </w:rPr>
              <w:t>”</w:t>
            </w:r>
          </w:p>
          <w:p>
            <w:pPr>
              <w:widowControl/>
              <w:spacing w:line="260" w:lineRule="exact"/>
              <w:jc w:val="center"/>
              <w:textAlignment w:val="center"/>
              <w:rPr>
                <w:color w:val="000000"/>
                <w:sz w:val="20"/>
                <w:szCs w:val="20"/>
              </w:rPr>
            </w:pPr>
            <w:r>
              <w:rPr>
                <w:rStyle w:val="10"/>
                <w:rFonts w:hint="default"/>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1"/>
                <w:sz w:val="20"/>
                <w:szCs w:val="20"/>
              </w:rPr>
              <w:t>“</w:t>
            </w:r>
            <w:r>
              <w:rPr>
                <w:rStyle w:val="10"/>
                <w:rFonts w:hint="default"/>
                <w:sz w:val="20"/>
                <w:szCs w:val="20"/>
              </w:rPr>
              <w:t>三公经费</w:t>
            </w:r>
            <w:r>
              <w:rPr>
                <w:rStyle w:val="11"/>
                <w:sz w:val="20"/>
                <w:szCs w:val="20"/>
              </w:rPr>
              <w:t>”</w:t>
            </w:r>
            <w:r>
              <w:rPr>
                <w:rStyle w:val="10"/>
                <w:rFonts w:hint="default"/>
                <w:sz w:val="20"/>
                <w:szCs w:val="20"/>
              </w:rPr>
              <w:t>控制率</w:t>
            </w:r>
            <w:r>
              <w:rPr>
                <w:rStyle w:val="11"/>
                <w:sz w:val="20"/>
                <w:szCs w:val="20"/>
              </w:rPr>
              <w:t>=</w:t>
            </w:r>
            <w:r>
              <w:rPr>
                <w:rStyle w:val="10"/>
                <w:rFonts w:hint="default"/>
                <w:sz w:val="20"/>
                <w:szCs w:val="20"/>
              </w:rPr>
              <w:t>（</w:t>
            </w:r>
            <w:r>
              <w:rPr>
                <w:rStyle w:val="11"/>
                <w:sz w:val="20"/>
                <w:szCs w:val="20"/>
              </w:rPr>
              <w:t>“</w:t>
            </w:r>
            <w:r>
              <w:rPr>
                <w:rStyle w:val="10"/>
                <w:rFonts w:hint="default"/>
                <w:sz w:val="20"/>
                <w:szCs w:val="20"/>
              </w:rPr>
              <w:t>三公经费</w:t>
            </w:r>
            <w:r>
              <w:rPr>
                <w:rStyle w:val="11"/>
                <w:sz w:val="20"/>
                <w:szCs w:val="20"/>
              </w:rPr>
              <w:t>”</w:t>
            </w:r>
            <w:r>
              <w:rPr>
                <w:rStyle w:val="10"/>
                <w:rFonts w:hint="default"/>
                <w:sz w:val="20"/>
                <w:szCs w:val="20"/>
              </w:rPr>
              <w:t>实际支出数</w:t>
            </w:r>
            <w:r>
              <w:rPr>
                <w:rStyle w:val="11"/>
                <w:sz w:val="20"/>
                <w:szCs w:val="20"/>
              </w:rPr>
              <w:t>/“</w:t>
            </w:r>
            <w:r>
              <w:rPr>
                <w:rStyle w:val="10"/>
                <w:rFonts w:hint="default"/>
                <w:sz w:val="20"/>
                <w:szCs w:val="20"/>
              </w:rPr>
              <w:t>三公经费</w:t>
            </w:r>
            <w:r>
              <w:rPr>
                <w:rStyle w:val="11"/>
                <w:sz w:val="20"/>
                <w:szCs w:val="20"/>
              </w:rPr>
              <w:t>”</w:t>
            </w:r>
            <w:r>
              <w:rPr>
                <w:rStyle w:val="10"/>
                <w:rFonts w:hint="default"/>
                <w:sz w:val="20"/>
                <w:szCs w:val="20"/>
              </w:rPr>
              <w:t>预算安排数）</w:t>
            </w:r>
            <w:r>
              <w:rPr>
                <w:rStyle w:val="11"/>
                <w:sz w:val="20"/>
                <w:szCs w:val="20"/>
              </w:rPr>
              <w:t>×100%</w:t>
            </w:r>
            <w:r>
              <w:rPr>
                <w:rStyle w:val="10"/>
                <w:rFonts w:hint="default"/>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1"/>
                <w:sz w:val="20"/>
                <w:szCs w:val="20"/>
              </w:rPr>
              <w:t>“</w:t>
            </w:r>
            <w:r>
              <w:rPr>
                <w:rStyle w:val="10"/>
                <w:rFonts w:hint="default"/>
                <w:sz w:val="20"/>
                <w:szCs w:val="20"/>
              </w:rPr>
              <w:t>三公经费</w:t>
            </w:r>
            <w:r>
              <w:rPr>
                <w:rStyle w:val="11"/>
                <w:sz w:val="20"/>
                <w:szCs w:val="20"/>
              </w:rPr>
              <w:t>”</w:t>
            </w:r>
            <w:r>
              <w:rPr>
                <w:rStyle w:val="10"/>
                <w:rFonts w:hint="default"/>
                <w:sz w:val="20"/>
                <w:szCs w:val="20"/>
              </w:rPr>
              <w:t>控制率</w:t>
            </w:r>
            <w:r>
              <w:rPr>
                <w:rStyle w:val="11"/>
                <w:sz w:val="20"/>
                <w:szCs w:val="20"/>
              </w:rPr>
              <w:t>100%</w:t>
            </w:r>
            <w:r>
              <w:rPr>
                <w:rStyle w:val="10"/>
                <w:rFonts w:hint="default"/>
                <w:sz w:val="20"/>
                <w:szCs w:val="20"/>
              </w:rPr>
              <w:t>以下（含）计</w:t>
            </w:r>
            <w:r>
              <w:rPr>
                <w:rStyle w:val="11"/>
                <w:sz w:val="20"/>
                <w:szCs w:val="20"/>
              </w:rPr>
              <w:t>2</w:t>
            </w:r>
            <w:r>
              <w:rPr>
                <w:rStyle w:val="10"/>
                <w:rFonts w:hint="default"/>
                <w:sz w:val="20"/>
                <w:szCs w:val="20"/>
              </w:rPr>
              <w:t>分，每超出</w:t>
            </w:r>
            <w:r>
              <w:rPr>
                <w:rStyle w:val="11"/>
                <w:sz w:val="20"/>
                <w:szCs w:val="20"/>
              </w:rPr>
              <w:t>1%</w:t>
            </w:r>
            <w:r>
              <w:rPr>
                <w:rStyle w:val="10"/>
                <w:rFonts w:hint="default"/>
                <w:sz w:val="20"/>
                <w:szCs w:val="20"/>
              </w:rPr>
              <w:t>扣</w:t>
            </w:r>
            <w:r>
              <w:rPr>
                <w:rStyle w:val="11"/>
                <w:sz w:val="20"/>
                <w:szCs w:val="20"/>
              </w:rPr>
              <w:t>0.15</w:t>
            </w:r>
            <w:r>
              <w:rPr>
                <w:rStyle w:val="10"/>
                <w:rFonts w:hint="default"/>
                <w:sz w:val="20"/>
                <w:szCs w:val="20"/>
              </w:rPr>
              <w:t>分，扣完为止。</w:t>
            </w:r>
          </w:p>
        </w:tc>
        <w:tc>
          <w:tcPr>
            <w:tcW w:w="477" w:type="pct"/>
            <w:tcMar>
              <w:top w:w="15" w:type="dxa"/>
              <w:left w:w="15" w:type="dxa"/>
              <w:right w:w="15" w:type="dxa"/>
            </w:tcMar>
            <w:vAlign w:val="center"/>
          </w:tcPr>
          <w:p>
            <w:pPr>
              <w:widowControl/>
              <w:spacing w:line="260" w:lineRule="exact"/>
              <w:textAlignment w:val="center"/>
              <w:rPr>
                <w:rStyle w:val="11"/>
                <w:sz w:val="20"/>
                <w:szCs w:val="20"/>
              </w:rPr>
            </w:pPr>
            <w:r>
              <w:rPr>
                <w:rStyle w:val="11"/>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rFonts w:hint="default"/>
                <w:sz w:val="20"/>
                <w:szCs w:val="20"/>
              </w:rPr>
              <w:t>政府采购执行率</w:t>
            </w:r>
            <w:r>
              <w:rPr>
                <w:rStyle w:val="11"/>
                <w:sz w:val="20"/>
                <w:szCs w:val="20"/>
              </w:rPr>
              <w:t>=</w:t>
            </w:r>
            <w:r>
              <w:rPr>
                <w:rStyle w:val="10"/>
                <w:rFonts w:hint="default"/>
                <w:sz w:val="20"/>
                <w:szCs w:val="20"/>
              </w:rPr>
              <w:t>（实际政府采购金额</w:t>
            </w:r>
            <w:r>
              <w:rPr>
                <w:rStyle w:val="11"/>
                <w:sz w:val="20"/>
                <w:szCs w:val="20"/>
              </w:rPr>
              <w:t>/</w:t>
            </w:r>
            <w:r>
              <w:rPr>
                <w:rStyle w:val="10"/>
                <w:rFonts w:hint="default"/>
                <w:sz w:val="20"/>
                <w:szCs w:val="20"/>
              </w:rPr>
              <w:t>政府采购预算数）</w:t>
            </w:r>
            <w:r>
              <w:rPr>
                <w:rStyle w:val="11"/>
                <w:sz w:val="20"/>
                <w:szCs w:val="20"/>
              </w:rPr>
              <w:t>×100%</w:t>
            </w:r>
            <w:r>
              <w:rPr>
                <w:rStyle w:val="10"/>
                <w:rFonts w:hint="default"/>
                <w:sz w:val="20"/>
                <w:szCs w:val="20"/>
              </w:rPr>
              <w:t>；</w:t>
            </w:r>
            <w:r>
              <w:rPr>
                <w:rStyle w:val="11"/>
                <w:sz w:val="20"/>
                <w:szCs w:val="20"/>
              </w:rPr>
              <w:br w:type="textWrapping"/>
            </w:r>
            <w:r>
              <w:rPr>
                <w:rStyle w:val="10"/>
                <w:rFonts w:hint="default"/>
                <w:spacing w:val="-6"/>
                <w:sz w:val="20"/>
                <w:szCs w:val="20"/>
              </w:rPr>
              <w:t>政府采购预算：采购机关根据事业发展计划和行政任务编制的、并经过规定程序批准的年度政府采购计划。</w:t>
            </w:r>
            <w:r>
              <w:rPr>
                <w:rStyle w:val="10"/>
                <w:rFonts w:hint="default"/>
                <w:sz w:val="20"/>
                <w:szCs w:val="20"/>
              </w:rPr>
              <w:br w:type="textWrapping"/>
            </w:r>
            <w:r>
              <w:rPr>
                <w:rStyle w:val="10"/>
                <w:rFonts w:hint="default"/>
                <w:sz w:val="20"/>
                <w:szCs w:val="20"/>
              </w:rPr>
              <w:t>预算单位严格执行《</w:t>
            </w:r>
            <w:r>
              <w:rPr>
                <w:rStyle w:val="10"/>
                <w:rFonts w:hint="eastAsia"/>
                <w:sz w:val="20"/>
                <w:szCs w:val="20"/>
                <w:lang w:eastAsia="zh-CN"/>
              </w:rPr>
              <w:t>中华人民共和国</w:t>
            </w:r>
            <w:bookmarkStart w:id="0" w:name="_GoBack"/>
            <w:r>
              <w:rPr>
                <w:rStyle w:val="10"/>
                <w:rFonts w:hint="default"/>
                <w:sz w:val="20"/>
                <w:szCs w:val="20"/>
              </w:rPr>
              <w:t>政府采购法</w:t>
            </w:r>
            <w:bookmarkEnd w:id="0"/>
            <w:r>
              <w:rPr>
                <w:rStyle w:val="10"/>
                <w:rFonts w:hint="default"/>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rFonts w:hint="default"/>
                <w:sz w:val="20"/>
                <w:szCs w:val="20"/>
              </w:rPr>
              <w:t>政府采购执行率</w:t>
            </w:r>
            <w:r>
              <w:rPr>
                <w:rStyle w:val="11"/>
                <w:sz w:val="20"/>
                <w:szCs w:val="20"/>
              </w:rPr>
              <w:t>100%</w:t>
            </w:r>
            <w:r>
              <w:rPr>
                <w:rStyle w:val="10"/>
                <w:rFonts w:hint="default"/>
                <w:sz w:val="20"/>
                <w:szCs w:val="20"/>
              </w:rPr>
              <w:t>计</w:t>
            </w:r>
            <w:r>
              <w:rPr>
                <w:rStyle w:val="11"/>
                <w:sz w:val="20"/>
                <w:szCs w:val="20"/>
              </w:rPr>
              <w:t>1</w:t>
            </w:r>
            <w:r>
              <w:rPr>
                <w:rStyle w:val="10"/>
                <w:rFonts w:hint="default"/>
                <w:sz w:val="20"/>
                <w:szCs w:val="20"/>
              </w:rPr>
              <w:t>分，每超过（降低）</w:t>
            </w:r>
            <w:r>
              <w:rPr>
                <w:rStyle w:val="11"/>
                <w:sz w:val="20"/>
                <w:szCs w:val="20"/>
              </w:rPr>
              <w:t>1%</w:t>
            </w:r>
            <w:r>
              <w:rPr>
                <w:rStyle w:val="10"/>
                <w:rFonts w:hint="default"/>
                <w:sz w:val="20"/>
                <w:szCs w:val="20"/>
              </w:rPr>
              <w:t>扣</w:t>
            </w:r>
            <w:r>
              <w:rPr>
                <w:rStyle w:val="11"/>
                <w:sz w:val="20"/>
                <w:szCs w:val="20"/>
              </w:rPr>
              <w:t>0.1</w:t>
            </w:r>
            <w:r>
              <w:rPr>
                <w:rStyle w:val="10"/>
                <w:rFonts w:hint="default"/>
                <w:sz w:val="20"/>
                <w:szCs w:val="20"/>
              </w:rPr>
              <w:t>分，扣完为止。</w:t>
            </w:r>
            <w:r>
              <w:rPr>
                <w:rStyle w:val="11"/>
                <w:sz w:val="20"/>
                <w:szCs w:val="20"/>
              </w:rPr>
              <w:br w:type="textWrapping"/>
            </w:r>
            <w:r>
              <w:rPr>
                <w:rStyle w:val="10"/>
                <w:rFonts w:hint="default"/>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10"/>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0"/>
                <w:rFonts w:hint="default"/>
                <w:sz w:val="20"/>
                <w:szCs w:val="20"/>
              </w:rPr>
              <w:t>预算</w:t>
            </w:r>
            <w:r>
              <w:rPr>
                <w:rStyle w:val="11"/>
                <w:sz w:val="20"/>
                <w:szCs w:val="20"/>
              </w:rPr>
              <w:br w:type="textWrapping"/>
            </w:r>
            <w:r>
              <w:rPr>
                <w:rStyle w:val="10"/>
                <w:rFonts w:hint="default"/>
                <w:sz w:val="20"/>
                <w:szCs w:val="20"/>
              </w:rPr>
              <w:t>管理</w:t>
            </w:r>
            <w:r>
              <w:rPr>
                <w:rStyle w:val="11"/>
                <w:sz w:val="20"/>
                <w:szCs w:val="20"/>
              </w:rPr>
              <w:br w:type="textWrapping"/>
            </w:r>
            <w:r>
              <w:rPr>
                <w:rStyle w:val="10"/>
                <w:rFonts w:hint="default"/>
                <w:sz w:val="20"/>
                <w:szCs w:val="20"/>
              </w:rPr>
              <w:t>（</w:t>
            </w:r>
            <w:r>
              <w:rPr>
                <w:rStyle w:val="11"/>
                <w:sz w:val="20"/>
                <w:szCs w:val="20"/>
              </w:rPr>
              <w:t>20</w:t>
            </w:r>
            <w:r>
              <w:rPr>
                <w:rStyle w:val="10"/>
                <w:rFonts w:hint="default"/>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0"/>
                <w:rFonts w:hint="default"/>
                <w:sz w:val="20"/>
                <w:szCs w:val="20"/>
              </w:rPr>
              <w:t>管理制度</w:t>
            </w:r>
            <w:r>
              <w:rPr>
                <w:rStyle w:val="11"/>
                <w:sz w:val="20"/>
                <w:szCs w:val="20"/>
              </w:rPr>
              <w:br w:type="textWrapping"/>
            </w:r>
            <w:r>
              <w:rPr>
                <w:rStyle w:val="10"/>
                <w:rFonts w:hint="default"/>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rFonts w:hint="default"/>
                <w:sz w:val="20"/>
                <w:szCs w:val="20"/>
              </w:rPr>
              <w:t>①部门（单位）内控制度、内部财务管理制度和会计核算制度是否健全；</w:t>
            </w:r>
            <w:r>
              <w:rPr>
                <w:rStyle w:val="11"/>
                <w:sz w:val="20"/>
                <w:szCs w:val="20"/>
              </w:rPr>
              <w:br w:type="textWrapping"/>
            </w:r>
            <w:r>
              <w:rPr>
                <w:rStyle w:val="10"/>
                <w:rFonts w:hint="default"/>
                <w:sz w:val="20"/>
                <w:szCs w:val="20"/>
              </w:rPr>
              <w:t>②相关管理制度是否合法、合规、完整；</w:t>
            </w:r>
            <w:r>
              <w:rPr>
                <w:rStyle w:val="11"/>
                <w:sz w:val="20"/>
                <w:szCs w:val="20"/>
              </w:rPr>
              <w:br w:type="textWrapping"/>
            </w:r>
            <w:r>
              <w:rPr>
                <w:rStyle w:val="10"/>
                <w:rFonts w:hint="default"/>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rFonts w:hint="default"/>
                <w:sz w:val="20"/>
                <w:szCs w:val="20"/>
              </w:rPr>
              <w:t>①部门（单位）内控制度、内部财务管理制度和会计核算制度健全，计</w:t>
            </w:r>
            <w:r>
              <w:rPr>
                <w:rStyle w:val="11"/>
                <w:sz w:val="20"/>
                <w:szCs w:val="20"/>
              </w:rPr>
              <w:t>1</w:t>
            </w:r>
            <w:r>
              <w:rPr>
                <w:rStyle w:val="10"/>
                <w:rFonts w:hint="default"/>
                <w:sz w:val="20"/>
                <w:szCs w:val="20"/>
              </w:rPr>
              <w:t>分，否则酌情扣分；</w:t>
            </w:r>
            <w:r>
              <w:rPr>
                <w:rStyle w:val="11"/>
                <w:sz w:val="20"/>
                <w:szCs w:val="20"/>
              </w:rPr>
              <w:br w:type="textWrapping"/>
            </w:r>
            <w:r>
              <w:rPr>
                <w:rStyle w:val="10"/>
                <w:rFonts w:hint="default"/>
                <w:sz w:val="20"/>
                <w:szCs w:val="20"/>
              </w:rPr>
              <w:t>②管理制度合法、合规、完整，计</w:t>
            </w:r>
            <w:r>
              <w:rPr>
                <w:rStyle w:val="11"/>
                <w:sz w:val="20"/>
                <w:szCs w:val="20"/>
              </w:rPr>
              <w:t>1</w:t>
            </w:r>
            <w:r>
              <w:rPr>
                <w:rStyle w:val="10"/>
                <w:rFonts w:hint="default"/>
                <w:sz w:val="20"/>
                <w:szCs w:val="20"/>
              </w:rPr>
              <w:t>分，否则酌情扣分；</w:t>
            </w:r>
            <w:r>
              <w:rPr>
                <w:rStyle w:val="11"/>
                <w:sz w:val="20"/>
                <w:szCs w:val="20"/>
              </w:rPr>
              <w:br w:type="textWrapping"/>
            </w:r>
            <w:r>
              <w:rPr>
                <w:rStyle w:val="10"/>
                <w:rFonts w:hint="default"/>
                <w:sz w:val="20"/>
                <w:szCs w:val="20"/>
              </w:rPr>
              <w:t>③管理制度得到有效执行，计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例不符合扣</w:t>
            </w:r>
            <w:r>
              <w:rPr>
                <w:rStyle w:val="11"/>
                <w:sz w:val="20"/>
                <w:szCs w:val="20"/>
              </w:rPr>
              <w:t>0.2</w:t>
            </w:r>
            <w:r>
              <w:rPr>
                <w:rStyle w:val="10"/>
                <w:rFonts w:hint="default"/>
                <w:sz w:val="20"/>
                <w:szCs w:val="20"/>
              </w:rPr>
              <w:t>分。</w:t>
            </w:r>
          </w:p>
        </w:tc>
        <w:tc>
          <w:tcPr>
            <w:tcW w:w="477" w:type="pct"/>
            <w:tcMar>
              <w:top w:w="15" w:type="dxa"/>
              <w:left w:w="15" w:type="dxa"/>
              <w:right w:w="15" w:type="dxa"/>
            </w:tcMar>
            <w:vAlign w:val="center"/>
          </w:tcPr>
          <w:p>
            <w:pPr>
              <w:widowControl/>
              <w:spacing w:line="260" w:lineRule="exact"/>
              <w:textAlignment w:val="center"/>
              <w:rPr>
                <w:rStyle w:val="10"/>
                <w:rFonts w:hint="default"/>
                <w:sz w:val="20"/>
                <w:szCs w:val="20"/>
              </w:rPr>
            </w:pPr>
            <w:r>
              <w:rPr>
                <w:rStyle w:val="10"/>
                <w:rFonts w:hint="default"/>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0"/>
                <w:rFonts w:hint="default"/>
                <w:sz w:val="20"/>
                <w:szCs w:val="20"/>
              </w:rPr>
              <w:t>资金使用</w:t>
            </w:r>
            <w:r>
              <w:rPr>
                <w:rStyle w:val="11"/>
                <w:sz w:val="20"/>
                <w:szCs w:val="20"/>
              </w:rPr>
              <w:br w:type="textWrapping"/>
            </w:r>
            <w:r>
              <w:rPr>
                <w:rStyle w:val="10"/>
                <w:rFonts w:hint="default"/>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rFonts w:hint="default"/>
                <w:sz w:val="20"/>
                <w:szCs w:val="20"/>
              </w:rPr>
              <w:t>①是否符合国家财经法规和财务管理制度以及有关专项资金管理办法的规定；</w:t>
            </w:r>
            <w:r>
              <w:rPr>
                <w:rStyle w:val="11"/>
                <w:sz w:val="20"/>
                <w:szCs w:val="20"/>
              </w:rPr>
              <w:br w:type="textWrapping"/>
            </w:r>
            <w:r>
              <w:rPr>
                <w:rStyle w:val="10"/>
                <w:rFonts w:hint="default"/>
                <w:sz w:val="20"/>
                <w:szCs w:val="20"/>
              </w:rPr>
              <w:t>②资金的支付是否有完整的审批程序和手续；</w:t>
            </w:r>
            <w:r>
              <w:rPr>
                <w:rStyle w:val="11"/>
                <w:sz w:val="20"/>
                <w:szCs w:val="20"/>
              </w:rPr>
              <w:br w:type="textWrapping"/>
            </w:r>
            <w:r>
              <w:rPr>
                <w:rStyle w:val="10"/>
                <w:rFonts w:hint="default"/>
                <w:sz w:val="20"/>
                <w:szCs w:val="20"/>
              </w:rPr>
              <w:t>③重大项目开支和大额资金使用是否经单位党组集体研究决策；</w:t>
            </w:r>
            <w:r>
              <w:rPr>
                <w:rStyle w:val="11"/>
                <w:sz w:val="20"/>
                <w:szCs w:val="20"/>
              </w:rPr>
              <w:br w:type="textWrapping"/>
            </w:r>
            <w:r>
              <w:rPr>
                <w:rStyle w:val="10"/>
                <w:rFonts w:hint="default"/>
                <w:sz w:val="20"/>
                <w:szCs w:val="20"/>
              </w:rPr>
              <w:t>④是否符合项目预算批复或合同规定的用途；</w:t>
            </w:r>
            <w:r>
              <w:rPr>
                <w:rStyle w:val="11"/>
                <w:sz w:val="20"/>
                <w:szCs w:val="20"/>
              </w:rPr>
              <w:br w:type="textWrapping"/>
            </w:r>
            <w:r>
              <w:rPr>
                <w:rStyle w:val="10"/>
                <w:rFonts w:hint="default"/>
                <w:sz w:val="20"/>
                <w:szCs w:val="20"/>
              </w:rPr>
              <w:t>⑤是否存在截留、挤占、挪用、虚列支出等情况；</w:t>
            </w:r>
            <w:r>
              <w:rPr>
                <w:rStyle w:val="11"/>
                <w:sz w:val="20"/>
                <w:szCs w:val="20"/>
              </w:rPr>
              <w:br w:type="textWrapping"/>
            </w:r>
            <w:r>
              <w:rPr>
                <w:rStyle w:val="10"/>
                <w:rFonts w:hint="default"/>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rFonts w:hint="default"/>
                <w:sz w:val="20"/>
                <w:szCs w:val="20"/>
              </w:rPr>
              <w:t>①符合国家财经法规和财务管理制度以及有关专项资金管理办法的规定，计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例不符合扣</w:t>
            </w:r>
            <w:r>
              <w:rPr>
                <w:rStyle w:val="11"/>
                <w:sz w:val="20"/>
                <w:szCs w:val="20"/>
              </w:rPr>
              <w:t>0.2</w:t>
            </w:r>
            <w:r>
              <w:rPr>
                <w:rStyle w:val="10"/>
                <w:rFonts w:hint="default"/>
                <w:sz w:val="20"/>
                <w:szCs w:val="20"/>
              </w:rPr>
              <w:t>分；</w:t>
            </w:r>
            <w:r>
              <w:rPr>
                <w:rStyle w:val="11"/>
                <w:sz w:val="20"/>
                <w:szCs w:val="20"/>
              </w:rPr>
              <w:br w:type="textWrapping"/>
            </w:r>
            <w:r>
              <w:rPr>
                <w:rStyle w:val="10"/>
                <w:rFonts w:hint="default"/>
                <w:sz w:val="20"/>
                <w:szCs w:val="20"/>
              </w:rPr>
              <w:t>②资金的支付有完整的审批程序和手续，计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例不符合扣</w:t>
            </w:r>
            <w:r>
              <w:rPr>
                <w:rStyle w:val="11"/>
                <w:sz w:val="20"/>
                <w:szCs w:val="20"/>
              </w:rPr>
              <w:t>0.2</w:t>
            </w:r>
            <w:r>
              <w:rPr>
                <w:rStyle w:val="10"/>
                <w:rFonts w:hint="default"/>
                <w:sz w:val="20"/>
                <w:szCs w:val="20"/>
              </w:rPr>
              <w:t>分；</w:t>
            </w:r>
            <w:r>
              <w:rPr>
                <w:rStyle w:val="11"/>
                <w:sz w:val="20"/>
                <w:szCs w:val="20"/>
              </w:rPr>
              <w:br w:type="textWrapping"/>
            </w:r>
            <w:r>
              <w:rPr>
                <w:rStyle w:val="10"/>
                <w:rFonts w:hint="default"/>
                <w:sz w:val="20"/>
                <w:szCs w:val="20"/>
              </w:rPr>
              <w:t>③重大项目开支和大额资金使用经过单位党组集体研究决策，计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例不符合扣</w:t>
            </w:r>
            <w:r>
              <w:rPr>
                <w:rStyle w:val="11"/>
                <w:sz w:val="20"/>
                <w:szCs w:val="20"/>
              </w:rPr>
              <w:t>0.2</w:t>
            </w:r>
            <w:r>
              <w:rPr>
                <w:rStyle w:val="10"/>
                <w:rFonts w:hint="default"/>
                <w:sz w:val="20"/>
                <w:szCs w:val="20"/>
              </w:rPr>
              <w:t>分；</w:t>
            </w:r>
            <w:r>
              <w:rPr>
                <w:rStyle w:val="11"/>
                <w:sz w:val="20"/>
                <w:szCs w:val="20"/>
              </w:rPr>
              <w:br w:type="textWrapping"/>
            </w:r>
            <w:r>
              <w:rPr>
                <w:rStyle w:val="10"/>
                <w:rFonts w:hint="default"/>
                <w:sz w:val="20"/>
                <w:szCs w:val="20"/>
              </w:rPr>
              <w:t>④符合项目预算批复或合同规定的用途，计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例不符合扣</w:t>
            </w:r>
            <w:r>
              <w:rPr>
                <w:rStyle w:val="11"/>
                <w:sz w:val="20"/>
                <w:szCs w:val="20"/>
              </w:rPr>
              <w:t>0.2</w:t>
            </w:r>
            <w:r>
              <w:rPr>
                <w:rStyle w:val="10"/>
                <w:rFonts w:hint="default"/>
                <w:sz w:val="20"/>
                <w:szCs w:val="20"/>
              </w:rPr>
              <w:t>分；</w:t>
            </w:r>
            <w:r>
              <w:rPr>
                <w:rStyle w:val="11"/>
                <w:sz w:val="20"/>
                <w:szCs w:val="20"/>
              </w:rPr>
              <w:br w:type="textWrapping"/>
            </w:r>
            <w:r>
              <w:rPr>
                <w:rStyle w:val="10"/>
                <w:rFonts w:hint="default"/>
                <w:sz w:val="20"/>
                <w:szCs w:val="20"/>
              </w:rPr>
              <w:t>⑤不存在截留、挤占、挪用、虚列支出等情况，计</w:t>
            </w:r>
            <w:r>
              <w:rPr>
                <w:rStyle w:val="11"/>
                <w:sz w:val="20"/>
                <w:szCs w:val="20"/>
              </w:rPr>
              <w:t>1</w:t>
            </w:r>
            <w:r>
              <w:rPr>
                <w:rStyle w:val="10"/>
                <w:rFonts w:hint="default"/>
                <w:sz w:val="20"/>
                <w:szCs w:val="20"/>
              </w:rPr>
              <w:t>分，</w:t>
            </w:r>
            <w:r>
              <w:rPr>
                <w:rStyle w:val="11"/>
                <w:sz w:val="20"/>
                <w:szCs w:val="20"/>
              </w:rPr>
              <w:t>1</w:t>
            </w:r>
            <w:r>
              <w:rPr>
                <w:rStyle w:val="10"/>
                <w:rFonts w:hint="default"/>
                <w:sz w:val="20"/>
                <w:szCs w:val="20"/>
              </w:rPr>
              <w:t>例不符合本指标</w:t>
            </w:r>
            <w:r>
              <w:rPr>
                <w:rStyle w:val="11"/>
                <w:sz w:val="20"/>
                <w:szCs w:val="20"/>
              </w:rPr>
              <w:t>6</w:t>
            </w:r>
            <w:r>
              <w:rPr>
                <w:rStyle w:val="10"/>
                <w:rFonts w:hint="default"/>
                <w:sz w:val="20"/>
                <w:szCs w:val="20"/>
              </w:rPr>
              <w:t>分全扣；</w:t>
            </w:r>
            <w:r>
              <w:rPr>
                <w:rStyle w:val="11"/>
                <w:sz w:val="20"/>
                <w:szCs w:val="20"/>
              </w:rPr>
              <w:br w:type="textWrapping"/>
            </w:r>
            <w:r>
              <w:rPr>
                <w:rStyle w:val="10"/>
                <w:rFonts w:hint="default"/>
                <w:sz w:val="20"/>
                <w:szCs w:val="20"/>
              </w:rPr>
              <w:t>⑥</w:t>
            </w:r>
            <w:r>
              <w:rPr>
                <w:rStyle w:val="10"/>
                <w:rFonts w:hint="default"/>
                <w:spacing w:val="-6"/>
                <w:sz w:val="20"/>
                <w:szCs w:val="20"/>
              </w:rPr>
              <w:t>不存在重复申报项目、虚报冒领资金，计</w:t>
            </w:r>
            <w:r>
              <w:rPr>
                <w:rStyle w:val="11"/>
                <w:spacing w:val="-6"/>
                <w:sz w:val="20"/>
                <w:szCs w:val="20"/>
              </w:rPr>
              <w:t>1</w:t>
            </w:r>
            <w:r>
              <w:rPr>
                <w:rStyle w:val="10"/>
                <w:rFonts w:hint="default"/>
                <w:spacing w:val="-6"/>
                <w:sz w:val="20"/>
                <w:szCs w:val="20"/>
              </w:rPr>
              <w:t>分，</w:t>
            </w:r>
            <w:r>
              <w:rPr>
                <w:rStyle w:val="11"/>
                <w:spacing w:val="-6"/>
                <w:sz w:val="20"/>
                <w:szCs w:val="20"/>
              </w:rPr>
              <w:t>1</w:t>
            </w:r>
            <w:r>
              <w:rPr>
                <w:rStyle w:val="10"/>
                <w:rFonts w:hint="default"/>
                <w:spacing w:val="-6"/>
                <w:sz w:val="20"/>
                <w:szCs w:val="20"/>
              </w:rPr>
              <w:t>例不符合本指标6分全扣；</w:t>
            </w:r>
            <w:r>
              <w:rPr>
                <w:rStyle w:val="10"/>
                <w:rFonts w:hint="default"/>
                <w:sz w:val="20"/>
                <w:szCs w:val="20"/>
              </w:rPr>
              <w:br w:type="textWrapping"/>
            </w:r>
            <w:r>
              <w:rPr>
                <w:rStyle w:val="10"/>
                <w:rFonts w:hint="default"/>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10"/>
                <w:rFonts w:hint="default"/>
                <w:sz w:val="20"/>
                <w:szCs w:val="20"/>
              </w:rPr>
            </w:pPr>
            <w:r>
              <w:rPr>
                <w:rStyle w:val="10"/>
                <w:rFonts w:hint="default"/>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10"/>
                <w:rFonts w:hint="default"/>
                <w:sz w:val="20"/>
                <w:szCs w:val="20"/>
              </w:rPr>
              <w:t>过程</w:t>
            </w:r>
            <w:r>
              <w:rPr>
                <w:rStyle w:val="11"/>
                <w:sz w:val="20"/>
                <w:szCs w:val="20"/>
              </w:rPr>
              <w:br w:type="textWrapping"/>
            </w:r>
            <w:r>
              <w:rPr>
                <w:rStyle w:val="10"/>
                <w:rFonts w:hint="default"/>
                <w:sz w:val="20"/>
                <w:szCs w:val="20"/>
              </w:rPr>
              <w:t>（</w:t>
            </w:r>
            <w:r>
              <w:rPr>
                <w:rStyle w:val="11"/>
                <w:sz w:val="20"/>
                <w:szCs w:val="20"/>
              </w:rPr>
              <w:t>40</w:t>
            </w:r>
            <w:r>
              <w:rPr>
                <w:rStyle w:val="10"/>
                <w:rFonts w:hint="default"/>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0"/>
                <w:rFonts w:hint="default"/>
                <w:sz w:val="20"/>
                <w:szCs w:val="20"/>
              </w:rPr>
              <w:t>预算</w:t>
            </w:r>
            <w:r>
              <w:rPr>
                <w:rStyle w:val="11"/>
                <w:sz w:val="20"/>
                <w:szCs w:val="20"/>
              </w:rPr>
              <w:br w:type="textWrapping"/>
            </w:r>
            <w:r>
              <w:rPr>
                <w:rStyle w:val="10"/>
                <w:rFonts w:hint="default"/>
                <w:sz w:val="20"/>
                <w:szCs w:val="20"/>
              </w:rPr>
              <w:t>管理</w:t>
            </w:r>
            <w:r>
              <w:rPr>
                <w:rStyle w:val="11"/>
                <w:sz w:val="20"/>
                <w:szCs w:val="20"/>
              </w:rPr>
              <w:br w:type="textWrapping"/>
            </w:r>
            <w:r>
              <w:rPr>
                <w:rStyle w:val="10"/>
                <w:rFonts w:hint="default"/>
                <w:sz w:val="20"/>
                <w:szCs w:val="20"/>
              </w:rPr>
              <w:t>（</w:t>
            </w:r>
            <w:r>
              <w:rPr>
                <w:rStyle w:val="11"/>
                <w:sz w:val="20"/>
                <w:szCs w:val="20"/>
              </w:rPr>
              <w:t>20</w:t>
            </w:r>
            <w:r>
              <w:rPr>
                <w:rStyle w:val="10"/>
                <w:rFonts w:hint="default"/>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rPr>
              <w:t>①预算单位按规定及时、准确、完整的公开预决算和绩效管理信息；</w:t>
            </w:r>
            <w:r>
              <w:rPr>
                <w:rStyle w:val="11"/>
                <w:sz w:val="20"/>
                <w:szCs w:val="20"/>
              </w:rPr>
              <w:br w:type="textWrapping"/>
            </w:r>
            <w:r>
              <w:rPr>
                <w:rStyle w:val="10"/>
                <w:rFonts w:hint="default"/>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rPr>
              <w:t>①、②各计</w:t>
            </w:r>
            <w:r>
              <w:rPr>
                <w:rStyle w:val="11"/>
                <w:sz w:val="20"/>
                <w:szCs w:val="20"/>
              </w:rPr>
              <w:t>1</w:t>
            </w:r>
            <w:r>
              <w:rPr>
                <w:rStyle w:val="10"/>
                <w:rFonts w:hint="default"/>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10"/>
                <w:rFonts w:hint="default"/>
                <w:sz w:val="20"/>
                <w:szCs w:val="20"/>
              </w:rPr>
            </w:pPr>
            <w:r>
              <w:rPr>
                <w:rStyle w:val="10"/>
                <w:rFonts w:hint="default"/>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rPr>
              <w:t>绩效自评</w:t>
            </w:r>
            <w:r>
              <w:rPr>
                <w:rStyle w:val="11"/>
                <w:sz w:val="20"/>
                <w:szCs w:val="20"/>
              </w:rPr>
              <w:br w:type="textWrapping"/>
            </w:r>
            <w:r>
              <w:rPr>
                <w:rStyle w:val="10"/>
                <w:rFonts w:hint="default"/>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rPr>
              <w:t>根据市财政局2020年考核结果，评审为优，计</w:t>
            </w:r>
            <w:r>
              <w:rPr>
                <w:rStyle w:val="11"/>
                <w:sz w:val="20"/>
                <w:szCs w:val="20"/>
              </w:rPr>
              <w:t>4</w:t>
            </w:r>
            <w:r>
              <w:rPr>
                <w:rStyle w:val="10"/>
                <w:rFonts w:hint="default"/>
                <w:sz w:val="20"/>
                <w:szCs w:val="20"/>
              </w:rPr>
              <w:t>分；评审为良，计</w:t>
            </w:r>
            <w:r>
              <w:rPr>
                <w:rStyle w:val="11"/>
                <w:sz w:val="20"/>
                <w:szCs w:val="20"/>
              </w:rPr>
              <w:t>3</w:t>
            </w:r>
            <w:r>
              <w:rPr>
                <w:rStyle w:val="10"/>
                <w:rFonts w:hint="default"/>
                <w:sz w:val="20"/>
                <w:szCs w:val="20"/>
              </w:rPr>
              <w:t>分；评审为中，计</w:t>
            </w:r>
            <w:r>
              <w:rPr>
                <w:rStyle w:val="11"/>
                <w:sz w:val="20"/>
                <w:szCs w:val="20"/>
              </w:rPr>
              <w:t>2</w:t>
            </w:r>
            <w:r>
              <w:rPr>
                <w:rStyle w:val="10"/>
                <w:rFonts w:hint="default"/>
                <w:sz w:val="20"/>
                <w:szCs w:val="20"/>
              </w:rPr>
              <w:t>分；评审为低，计</w:t>
            </w:r>
            <w:r>
              <w:rPr>
                <w:rStyle w:val="11"/>
                <w:sz w:val="20"/>
                <w:szCs w:val="20"/>
              </w:rPr>
              <w:t>1</w:t>
            </w:r>
            <w:r>
              <w:rPr>
                <w:rStyle w:val="10"/>
                <w:rFonts w:hint="default"/>
                <w:sz w:val="20"/>
                <w:szCs w:val="20"/>
              </w:rPr>
              <w:t>分；评审为差，计</w:t>
            </w:r>
            <w:r>
              <w:rPr>
                <w:rStyle w:val="11"/>
                <w:sz w:val="20"/>
                <w:szCs w:val="20"/>
              </w:rPr>
              <w:t>0</w:t>
            </w:r>
            <w:r>
              <w:rPr>
                <w:rStyle w:val="10"/>
                <w:rFonts w:hint="default"/>
                <w:sz w:val="20"/>
                <w:szCs w:val="20"/>
              </w:rPr>
              <w:t>分。</w:t>
            </w:r>
          </w:p>
        </w:tc>
        <w:tc>
          <w:tcPr>
            <w:tcW w:w="477" w:type="pct"/>
            <w:tcMar>
              <w:top w:w="15" w:type="dxa"/>
              <w:left w:w="15" w:type="dxa"/>
              <w:right w:w="15" w:type="dxa"/>
            </w:tcMar>
            <w:vAlign w:val="center"/>
          </w:tcPr>
          <w:p>
            <w:pPr>
              <w:widowControl/>
              <w:spacing w:line="280" w:lineRule="exact"/>
              <w:textAlignment w:val="center"/>
              <w:rPr>
                <w:rStyle w:val="10"/>
                <w:rFonts w:hint="default"/>
                <w:sz w:val="20"/>
                <w:szCs w:val="20"/>
              </w:rPr>
            </w:pPr>
            <w:r>
              <w:rPr>
                <w:rStyle w:val="10"/>
                <w:rFonts w:hint="default"/>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rPr>
              <w:t>2019年重点评价问题全部整改，计</w:t>
            </w:r>
            <w:r>
              <w:rPr>
                <w:rStyle w:val="11"/>
                <w:sz w:val="20"/>
                <w:szCs w:val="20"/>
              </w:rPr>
              <w:t>5</w:t>
            </w:r>
            <w:r>
              <w:rPr>
                <w:rStyle w:val="10"/>
                <w:rFonts w:hint="default"/>
                <w:sz w:val="20"/>
                <w:szCs w:val="20"/>
              </w:rPr>
              <w:t>分；2019年重点评价问题部分整改，计</w:t>
            </w:r>
            <w:r>
              <w:rPr>
                <w:rStyle w:val="11"/>
                <w:sz w:val="20"/>
                <w:szCs w:val="20"/>
              </w:rPr>
              <w:t>3</w:t>
            </w:r>
            <w:r>
              <w:rPr>
                <w:rStyle w:val="10"/>
                <w:rFonts w:hint="default"/>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10"/>
                <w:rFonts w:hint="default"/>
                <w:sz w:val="20"/>
                <w:szCs w:val="20"/>
              </w:rPr>
            </w:pPr>
            <w:r>
              <w:rPr>
                <w:rStyle w:val="10"/>
                <w:rFonts w:hint="default"/>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rPr>
              <w:t>资产</w:t>
            </w:r>
            <w:r>
              <w:rPr>
                <w:rStyle w:val="11"/>
                <w:sz w:val="20"/>
                <w:szCs w:val="20"/>
              </w:rPr>
              <w:br w:type="textWrapping"/>
            </w:r>
            <w:r>
              <w:rPr>
                <w:rStyle w:val="10"/>
                <w:rFonts w:hint="default"/>
                <w:sz w:val="20"/>
                <w:szCs w:val="20"/>
              </w:rPr>
              <w:t>管理</w:t>
            </w:r>
            <w:r>
              <w:rPr>
                <w:rStyle w:val="11"/>
                <w:sz w:val="20"/>
                <w:szCs w:val="20"/>
              </w:rPr>
              <w:br w:type="textWrapping"/>
            </w:r>
            <w:r>
              <w:rPr>
                <w:rStyle w:val="10"/>
                <w:rFonts w:hint="default"/>
                <w:sz w:val="20"/>
                <w:szCs w:val="20"/>
              </w:rPr>
              <w:t>（</w:t>
            </w:r>
            <w:r>
              <w:rPr>
                <w:rStyle w:val="11"/>
                <w:sz w:val="20"/>
                <w:szCs w:val="20"/>
              </w:rPr>
              <w:t>5</w:t>
            </w:r>
            <w:r>
              <w:rPr>
                <w:rStyle w:val="10"/>
                <w:rFonts w:hint="default"/>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资产</w:t>
            </w:r>
          </w:p>
          <w:p>
            <w:pPr>
              <w:widowControl/>
              <w:spacing w:line="280" w:lineRule="exact"/>
              <w:jc w:val="center"/>
              <w:textAlignment w:val="center"/>
              <w:rPr>
                <w:rStyle w:val="10"/>
                <w:rFonts w:hint="default"/>
                <w:sz w:val="20"/>
                <w:szCs w:val="20"/>
              </w:rPr>
            </w:pPr>
            <w:r>
              <w:rPr>
                <w:rStyle w:val="10"/>
                <w:rFonts w:hint="default"/>
                <w:sz w:val="20"/>
                <w:szCs w:val="20"/>
              </w:rPr>
              <w:t>管理</w:t>
            </w:r>
            <w:r>
              <w:rPr>
                <w:rStyle w:val="11"/>
                <w:sz w:val="20"/>
                <w:szCs w:val="20"/>
              </w:rPr>
              <w:br w:type="textWrapping"/>
            </w:r>
            <w:r>
              <w:rPr>
                <w:rStyle w:val="10"/>
                <w:rFonts w:hint="default"/>
                <w:sz w:val="20"/>
                <w:szCs w:val="20"/>
              </w:rPr>
              <w:t>制度</w:t>
            </w:r>
          </w:p>
          <w:p>
            <w:pPr>
              <w:widowControl/>
              <w:spacing w:line="280" w:lineRule="exact"/>
              <w:jc w:val="center"/>
              <w:textAlignment w:val="center"/>
              <w:rPr>
                <w:color w:val="000000"/>
                <w:sz w:val="20"/>
                <w:szCs w:val="20"/>
              </w:rPr>
            </w:pPr>
            <w:r>
              <w:rPr>
                <w:rStyle w:val="10"/>
                <w:rFonts w:hint="default"/>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rPr>
              <w:t>①是否已制定合法、合规、完整的资产管理制度；</w:t>
            </w:r>
            <w:r>
              <w:rPr>
                <w:rStyle w:val="11"/>
                <w:sz w:val="20"/>
                <w:szCs w:val="20"/>
              </w:rPr>
              <w:br w:type="textWrapping"/>
            </w:r>
            <w:r>
              <w:rPr>
                <w:rStyle w:val="10"/>
                <w:rFonts w:hint="default"/>
                <w:sz w:val="20"/>
                <w:szCs w:val="20"/>
              </w:rPr>
              <w:t>②相关资产管理制度是否得到有效执行；</w:t>
            </w:r>
            <w:r>
              <w:rPr>
                <w:rStyle w:val="11"/>
                <w:sz w:val="20"/>
                <w:szCs w:val="20"/>
              </w:rPr>
              <w:br w:type="textWrapping"/>
            </w:r>
            <w:r>
              <w:rPr>
                <w:rStyle w:val="10"/>
                <w:rFonts w:hint="default"/>
                <w:sz w:val="20"/>
                <w:szCs w:val="20"/>
              </w:rPr>
              <w:t>③资产配置是否编制年度预算；</w:t>
            </w:r>
            <w:r>
              <w:rPr>
                <w:rStyle w:val="10"/>
                <w:rFonts w:hint="default"/>
                <w:sz w:val="20"/>
                <w:szCs w:val="20"/>
              </w:rPr>
              <w:br w:type="textWrapping"/>
            </w:r>
            <w:r>
              <w:rPr>
                <w:rStyle w:val="10"/>
                <w:rFonts w:hint="default"/>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rPr>
              <w:t>①已制定合法、合规、完整的资产管理制度，计</w:t>
            </w:r>
            <w:r>
              <w:rPr>
                <w:rStyle w:val="11"/>
                <w:sz w:val="20"/>
                <w:szCs w:val="20"/>
              </w:rPr>
              <w:t>0.5</w:t>
            </w:r>
            <w:r>
              <w:rPr>
                <w:rStyle w:val="10"/>
                <w:rFonts w:hint="default"/>
                <w:sz w:val="20"/>
                <w:szCs w:val="20"/>
              </w:rPr>
              <w:t>分，否则不得分；</w:t>
            </w:r>
            <w:r>
              <w:rPr>
                <w:rStyle w:val="11"/>
                <w:sz w:val="20"/>
                <w:szCs w:val="20"/>
              </w:rPr>
              <w:br w:type="textWrapping"/>
            </w:r>
            <w:r>
              <w:rPr>
                <w:rStyle w:val="10"/>
                <w:rFonts w:hint="default"/>
                <w:sz w:val="20"/>
                <w:szCs w:val="20"/>
              </w:rPr>
              <w:t>②相关资产管理制度得到有效执行，计</w:t>
            </w:r>
            <w:r>
              <w:rPr>
                <w:rStyle w:val="11"/>
                <w:sz w:val="20"/>
                <w:szCs w:val="20"/>
              </w:rPr>
              <w:t>0.5</w:t>
            </w:r>
            <w:r>
              <w:rPr>
                <w:rStyle w:val="10"/>
                <w:rFonts w:hint="default"/>
                <w:sz w:val="20"/>
                <w:szCs w:val="20"/>
              </w:rPr>
              <w:t>分，否则，不得分；</w:t>
            </w:r>
            <w:r>
              <w:rPr>
                <w:rStyle w:val="11"/>
                <w:sz w:val="20"/>
                <w:szCs w:val="20"/>
              </w:rPr>
              <w:br w:type="textWrapping"/>
            </w:r>
            <w:r>
              <w:rPr>
                <w:rStyle w:val="10"/>
                <w:rFonts w:hint="default"/>
                <w:sz w:val="20"/>
                <w:szCs w:val="20"/>
              </w:rPr>
              <w:t>③资产管理编制年度预算，计</w:t>
            </w:r>
            <w:r>
              <w:rPr>
                <w:rStyle w:val="11"/>
                <w:sz w:val="20"/>
                <w:szCs w:val="20"/>
              </w:rPr>
              <w:t>0.5</w:t>
            </w:r>
            <w:r>
              <w:rPr>
                <w:rStyle w:val="10"/>
                <w:rFonts w:hint="default"/>
                <w:sz w:val="20"/>
                <w:szCs w:val="20"/>
              </w:rPr>
              <w:t>分，未编制不得分。</w:t>
            </w:r>
            <w:r>
              <w:rPr>
                <w:rStyle w:val="11"/>
                <w:sz w:val="20"/>
                <w:szCs w:val="20"/>
              </w:rPr>
              <w:br w:type="textWrapping"/>
            </w:r>
            <w:r>
              <w:rPr>
                <w:rStyle w:val="10"/>
                <w:rFonts w:hint="default"/>
                <w:sz w:val="20"/>
                <w:szCs w:val="20"/>
              </w:rPr>
              <w:t>④资产配置预算实际执行情况未超年度预算（按程序审批除外），计</w:t>
            </w:r>
            <w:r>
              <w:rPr>
                <w:rStyle w:val="11"/>
                <w:sz w:val="20"/>
                <w:szCs w:val="20"/>
              </w:rPr>
              <w:t>0.5</w:t>
            </w:r>
            <w:r>
              <w:rPr>
                <w:rStyle w:val="10"/>
                <w:rFonts w:hint="default"/>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10"/>
                <w:rFonts w:hint="default"/>
                <w:sz w:val="20"/>
                <w:szCs w:val="20"/>
              </w:rPr>
            </w:pPr>
            <w:r>
              <w:rPr>
                <w:rStyle w:val="10"/>
                <w:rFonts w:hint="default"/>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rPr>
              <w:t>资产管理</w:t>
            </w:r>
            <w:r>
              <w:rPr>
                <w:rStyle w:val="11"/>
                <w:sz w:val="20"/>
                <w:szCs w:val="20"/>
              </w:rPr>
              <w:br w:type="textWrapping"/>
            </w:r>
            <w:r>
              <w:rPr>
                <w:rStyle w:val="10"/>
                <w:rFonts w:hint="default"/>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0"/>
                <w:rFonts w:hint="default"/>
                <w:sz w:val="20"/>
                <w:szCs w:val="20"/>
              </w:rPr>
              <w:t>①资产保存是否完整并有台账；</w:t>
            </w:r>
            <w:r>
              <w:rPr>
                <w:rStyle w:val="11"/>
                <w:sz w:val="20"/>
                <w:szCs w:val="20"/>
              </w:rPr>
              <w:br w:type="textWrapping"/>
            </w:r>
            <w:r>
              <w:rPr>
                <w:rStyle w:val="10"/>
                <w:rFonts w:hint="default"/>
                <w:sz w:val="20"/>
                <w:szCs w:val="20"/>
              </w:rPr>
              <w:t>②资产配置是否合理；</w:t>
            </w:r>
            <w:r>
              <w:rPr>
                <w:rStyle w:val="11"/>
                <w:sz w:val="20"/>
                <w:szCs w:val="20"/>
              </w:rPr>
              <w:br w:type="textWrapping"/>
            </w:r>
            <w:r>
              <w:rPr>
                <w:rStyle w:val="10"/>
                <w:rFonts w:hint="default"/>
                <w:sz w:val="20"/>
                <w:szCs w:val="20"/>
              </w:rPr>
              <w:t>③资产处置是否规范；</w:t>
            </w:r>
            <w:r>
              <w:rPr>
                <w:rStyle w:val="11"/>
                <w:sz w:val="20"/>
                <w:szCs w:val="20"/>
              </w:rPr>
              <w:br w:type="textWrapping"/>
            </w:r>
            <w:r>
              <w:rPr>
                <w:rStyle w:val="10"/>
                <w:rFonts w:hint="default"/>
                <w:sz w:val="20"/>
                <w:szCs w:val="20"/>
              </w:rPr>
              <w:t>④资产账务管理是否合规，是否帐实相符；</w:t>
            </w:r>
            <w:r>
              <w:rPr>
                <w:rStyle w:val="11"/>
                <w:sz w:val="20"/>
                <w:szCs w:val="20"/>
              </w:rPr>
              <w:br w:type="textWrapping"/>
            </w:r>
            <w:r>
              <w:rPr>
                <w:rStyle w:val="10"/>
                <w:rFonts w:hint="default"/>
                <w:sz w:val="20"/>
                <w:szCs w:val="20"/>
              </w:rPr>
              <w:t>⑤资产是否有偿使用或处置收入及时足额上缴；</w:t>
            </w:r>
            <w:r>
              <w:rPr>
                <w:rStyle w:val="11"/>
                <w:sz w:val="20"/>
                <w:szCs w:val="20"/>
              </w:rPr>
              <w:br w:type="textWrapping"/>
            </w:r>
            <w:r>
              <w:rPr>
                <w:rStyle w:val="10"/>
                <w:rFonts w:hint="default"/>
                <w:sz w:val="20"/>
                <w:szCs w:val="20"/>
              </w:rPr>
              <w:t>⑥相关资产购置是否履行政府采购手续；</w:t>
            </w:r>
            <w:r>
              <w:rPr>
                <w:rStyle w:val="11"/>
                <w:sz w:val="20"/>
                <w:szCs w:val="20"/>
              </w:rPr>
              <w:br w:type="textWrapping"/>
            </w:r>
            <w:r>
              <w:rPr>
                <w:rStyle w:val="10"/>
                <w:rFonts w:hint="default"/>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0"/>
                <w:rFonts w:hint="default"/>
                <w:sz w:val="20"/>
                <w:szCs w:val="20"/>
              </w:rPr>
              <w:t>①资产配置合理符合标准、保管完整，账务管理规范，定期盘点并有台账，账实相符的，计</w:t>
            </w:r>
            <w:r>
              <w:rPr>
                <w:rStyle w:val="11"/>
                <w:sz w:val="20"/>
                <w:szCs w:val="20"/>
              </w:rPr>
              <w:t>0.5</w:t>
            </w:r>
            <w:r>
              <w:rPr>
                <w:rStyle w:val="10"/>
                <w:rFonts w:hint="default"/>
                <w:sz w:val="20"/>
                <w:szCs w:val="20"/>
              </w:rPr>
              <w:t>分，发现一例不符，扣</w:t>
            </w:r>
            <w:r>
              <w:rPr>
                <w:rStyle w:val="11"/>
                <w:sz w:val="20"/>
                <w:szCs w:val="20"/>
              </w:rPr>
              <w:t>0.1</w:t>
            </w:r>
            <w:r>
              <w:rPr>
                <w:rStyle w:val="10"/>
                <w:rFonts w:hint="default"/>
                <w:sz w:val="20"/>
                <w:szCs w:val="20"/>
              </w:rPr>
              <w:t>分，扣完为止；</w:t>
            </w:r>
            <w:r>
              <w:rPr>
                <w:rStyle w:val="11"/>
                <w:sz w:val="20"/>
                <w:szCs w:val="20"/>
              </w:rPr>
              <w:br w:type="textWrapping"/>
            </w:r>
            <w:r>
              <w:rPr>
                <w:rStyle w:val="10"/>
                <w:rFonts w:hint="default"/>
                <w:sz w:val="20"/>
                <w:szCs w:val="20"/>
              </w:rPr>
              <w:t>②资产处置规范，计0.5分，发现一例不符，扣0.1分，扣完为止；</w:t>
            </w:r>
            <w:r>
              <w:rPr>
                <w:rStyle w:val="11"/>
                <w:sz w:val="20"/>
                <w:szCs w:val="20"/>
              </w:rPr>
              <w:br w:type="textWrapping"/>
            </w:r>
            <w:r>
              <w:rPr>
                <w:rStyle w:val="10"/>
                <w:rFonts w:hint="default"/>
                <w:sz w:val="20"/>
                <w:szCs w:val="20"/>
              </w:rPr>
              <w:t>③资产有偿使用或处置收入及时足额上缴，计0.5分，发现未上缴，本项不得分；</w:t>
            </w:r>
            <w:r>
              <w:rPr>
                <w:rStyle w:val="11"/>
                <w:sz w:val="20"/>
                <w:szCs w:val="20"/>
              </w:rPr>
              <w:br w:type="textWrapping"/>
            </w:r>
            <w:r>
              <w:rPr>
                <w:rStyle w:val="10"/>
                <w:rFonts w:hint="default"/>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10"/>
                <w:rFonts w:hint="default"/>
                <w:sz w:val="20"/>
                <w:szCs w:val="20"/>
              </w:rPr>
            </w:pPr>
            <w:r>
              <w:rPr>
                <w:rStyle w:val="10"/>
                <w:rFonts w:hint="default"/>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0"/>
                <w:rFonts w:hint="default"/>
                <w:sz w:val="20"/>
                <w:szCs w:val="20"/>
              </w:rPr>
              <w:t>固定资产</w:t>
            </w:r>
            <w:r>
              <w:rPr>
                <w:rStyle w:val="11"/>
                <w:sz w:val="20"/>
                <w:szCs w:val="20"/>
              </w:rPr>
              <w:br w:type="textWrapping"/>
            </w:r>
            <w:r>
              <w:rPr>
                <w:rStyle w:val="10"/>
                <w:rFonts w:hint="default"/>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实际</w:t>
            </w:r>
          </w:p>
          <w:p>
            <w:pPr>
              <w:widowControl/>
              <w:spacing w:line="280" w:lineRule="exact"/>
              <w:jc w:val="center"/>
              <w:textAlignment w:val="center"/>
              <w:rPr>
                <w:rStyle w:val="10"/>
                <w:rFonts w:hint="default"/>
                <w:sz w:val="20"/>
                <w:szCs w:val="20"/>
              </w:rPr>
            </w:pPr>
            <w:r>
              <w:rPr>
                <w:rStyle w:val="10"/>
                <w:rFonts w:hint="default"/>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完成</w:t>
            </w:r>
          </w:p>
          <w:p>
            <w:pPr>
              <w:widowControl/>
              <w:spacing w:line="280" w:lineRule="exact"/>
              <w:jc w:val="center"/>
              <w:textAlignment w:val="center"/>
              <w:rPr>
                <w:rStyle w:val="10"/>
                <w:rFonts w:hint="default"/>
                <w:sz w:val="20"/>
                <w:szCs w:val="20"/>
              </w:rPr>
            </w:pPr>
            <w:r>
              <w:rPr>
                <w:rStyle w:val="10"/>
                <w:rFonts w:hint="default"/>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质量</w:t>
            </w:r>
          </w:p>
          <w:p>
            <w:pPr>
              <w:widowControl/>
              <w:spacing w:line="280" w:lineRule="exact"/>
              <w:jc w:val="center"/>
              <w:textAlignment w:val="center"/>
              <w:rPr>
                <w:rStyle w:val="10"/>
                <w:rFonts w:hint="default"/>
                <w:sz w:val="20"/>
                <w:szCs w:val="20"/>
              </w:rPr>
            </w:pPr>
            <w:r>
              <w:rPr>
                <w:rStyle w:val="10"/>
                <w:rFonts w:hint="default"/>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r>
              <w:rPr>
                <w:rStyle w:val="10"/>
                <w:rFonts w:hint="default"/>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10"/>
                <w:rFonts w:hint="default"/>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83</w:t>
            </w:r>
          </w:p>
        </w:tc>
      </w:tr>
    </w:tbl>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2020年度雨花区纪委监委部门整体支出预算绩效自评报告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rPr>
          <w:rFonts w:eastAsia="黑体"/>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7"/>
        <w:widowControl/>
        <w:spacing w:line="600" w:lineRule="exact"/>
        <w:ind w:firstLine="640"/>
        <w:rPr>
          <w:rFonts w:ascii="仿宋_GB2312" w:hAnsi="仿宋_GB2312" w:eastAsia="仿宋_GB2312" w:cs="仿宋_GB2312"/>
          <w:b/>
          <w:bCs/>
          <w:sz w:val="32"/>
          <w:szCs w:val="32"/>
        </w:rPr>
      </w:pPr>
    </w:p>
    <w:p>
      <w:pPr>
        <w:pStyle w:val="7"/>
        <w:widowControl/>
        <w:spacing w:line="600" w:lineRule="exact"/>
        <w:ind w:firstLine="640"/>
        <w:rPr>
          <w:rFonts w:ascii="仿宋_GB2312" w:hAnsi="仿宋_GB2312" w:eastAsia="仿宋_GB2312" w:cs="仿宋_GB2312"/>
          <w:b/>
          <w:bCs/>
          <w:sz w:val="32"/>
          <w:szCs w:val="32"/>
        </w:rPr>
      </w:pPr>
    </w:p>
    <w:p>
      <w:pPr>
        <w:ind w:firstLine="643" w:firstLineChars="200"/>
        <w:rPr>
          <w:rFonts w:ascii="仿宋_GB2312" w:eastAsia="仿宋_GB2312"/>
          <w:sz w:val="32"/>
          <w:szCs w:val="32"/>
        </w:rPr>
      </w:pPr>
      <w:r>
        <w:rPr>
          <w:rFonts w:hint="eastAsia" w:ascii="仿宋_GB2312" w:hAnsi="仿宋_GB2312" w:eastAsia="仿宋_GB2312" w:cs="仿宋_GB2312"/>
          <w:b/>
          <w:bCs/>
          <w:sz w:val="32"/>
          <w:szCs w:val="32"/>
        </w:rPr>
        <w:t>一、单位基本情况：</w:t>
      </w:r>
      <w:r>
        <w:rPr>
          <w:rFonts w:hint="eastAsia" w:ascii="仿宋_GB2312" w:eastAsia="仿宋_GB2312"/>
          <w:sz w:val="32"/>
          <w:szCs w:val="32"/>
        </w:rPr>
        <w:t>雨花区纪委监委履行党的纪律检查和国家监察两项职能，负责对全区党员、党组织和行使公权力的公职人员进行监督执纪问责和监督调查处置；负责贯彻落实党中央决策部署，执行中央、省、市纪委监委和区委关于推进全面从严治党、加强党风廉政建设和反腐败工作的决定；维护党章党纪党规和宪法法律法规的权威和尊严，检查党的路线、方针、政策和决议的执行情况；负责对党风廉政建设责任制执行情况进行监督检查；深入开展党性、党风、党纪教育；准确把握和运用监督执纪“四种形态”，持之以恒正风肃纪。</w:t>
      </w:r>
    </w:p>
    <w:p>
      <w:pPr>
        <w:ind w:firstLine="600" w:firstLineChars="200"/>
        <w:rPr>
          <w:rFonts w:ascii="仿宋_GB2312" w:eastAsia="仿宋_GB2312"/>
          <w:sz w:val="32"/>
          <w:szCs w:val="32"/>
        </w:rPr>
      </w:pPr>
      <w:r>
        <w:rPr>
          <w:rFonts w:hint="eastAsia" w:ascii="楷体_GB2312" w:hAnsi="宋体" w:eastAsia="楷体_GB2312"/>
          <w:kern w:val="10"/>
          <w:sz w:val="30"/>
          <w:szCs w:val="30"/>
        </w:rPr>
        <w:t>内设机构11个：办公室、党风政风监督室、纪检监察干部监督室、信访室、纪检监察1-5室、案件监督管理室、案件审理室，另下设二级事业单位：纪检监察信息中心为全额拨款事业单位。2020年平均实有在职人员86人，其中行政编制65人，事业编制13人，工勤编制2人，引进人才1人，雇员5人。另退休8人。</w:t>
      </w:r>
      <w:r>
        <w:rPr>
          <w:rFonts w:hint="eastAsia" w:ascii="仿宋_GB2312" w:eastAsia="仿宋_GB2312"/>
          <w:sz w:val="32"/>
          <w:szCs w:val="32"/>
        </w:rPr>
        <w:t>实有执勤执法车辆3台。</w:t>
      </w:r>
    </w:p>
    <w:p>
      <w:pPr>
        <w:widowControl/>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7"/>
        <w:widowControl/>
        <w:spacing w:line="60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ind w:firstLine="640" w:firstLineChars="200"/>
        <w:rPr>
          <w:rFonts w:ascii="黑体" w:hAnsi="黑体" w:eastAsia="黑体"/>
          <w:sz w:val="32"/>
          <w:szCs w:val="32"/>
        </w:rPr>
      </w:pPr>
      <w:r>
        <w:rPr>
          <w:rFonts w:hint="eastAsia" w:ascii="仿宋_GB2312" w:eastAsia="仿宋_GB2312"/>
          <w:sz w:val="32"/>
          <w:szCs w:val="32"/>
        </w:rPr>
        <w:t>基本支出2457.42万元，为保障单位机构正常运转、完成日常工作任务而发生的各项支出，包括在职、雇员工资、津贴、奖金、伙食补助、社保缴费、公积金、医疗补助支出，以及退休人员生活补助等人员经费支出2235.77万元，以及办公费、邮电费、会议费、培训费、印刷费、工会经费、办公设备购置、公车运行经费等日常公用经费支出221.64万元。“三公经费”支出7.59万元，其中3台公务车运行维护费即油料、修理、保险、停车费等7.33万元，公务接待费0.26万元。</w:t>
      </w:r>
    </w:p>
    <w:p>
      <w:pPr>
        <w:pStyle w:val="7"/>
        <w:widowControl/>
        <w:spacing w:line="60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ind w:firstLine="640" w:firstLineChars="200"/>
        <w:rPr>
          <w:rFonts w:ascii="仿宋_GB2312" w:eastAsia="仿宋_GB2312"/>
          <w:sz w:val="32"/>
          <w:szCs w:val="32"/>
        </w:rPr>
      </w:pPr>
      <w:r>
        <w:rPr>
          <w:rFonts w:hint="eastAsia" w:ascii="仿宋_GB2312" w:eastAsia="仿宋_GB2312"/>
          <w:sz w:val="32"/>
          <w:szCs w:val="32"/>
        </w:rPr>
        <w:t>项目支出年初预算安排落实资金532万元，均为区财政拨款。年终决算实际使用231.95万元，包括：</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1.党风政风行风建设项目10.75万元，主要用于</w:t>
      </w:r>
      <w:r>
        <w:rPr>
          <w:rFonts w:hint="eastAsia" w:ascii="仿宋_GB2312" w:eastAsia="仿宋_GB2312"/>
          <w:sz w:val="32"/>
          <w:szCs w:val="32"/>
        </w:rPr>
        <w:t>定期研究部署党风廉政建设工作，对全年“两个责任”落实不力的党员干部问责；动态掌握干部廉政情况和单位政治生态，全区副科级以上干部个人廉政档案的更新完善；各项廉政廉洁制度的出台、专项整治活动的开展等促进全区党风、政风、行风不断向好的工作的展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廉政文化建设及调研宣教项目47.99万元，主要通过廉政文化阵地建设、廉政文化宣传、开展廉政文化活动，进一步浓厚不敢腐氛围，构建不想腐、不能腐机制，形成清正廉洁的党风、政风，推进党风廉政建设。强化文化引领、全员培训，从严管理内部队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办案及审理专项166.34万元，主要用于加强对贯彻落实党中央和上级决策部署的监督检查、严明政治纪律和政治规矩、不断净化党内政治生态和层层传导管党治党政治责任。持之以恒纠正“四风”，打好作风建设持久战。持续开展反腐败斗争和坚决整治群众身边的不正之风和腐败问题，坚持无禁区、全覆盖、零容忍,坚持重遏制、强高压、长震慑，坚持受贿行贿一起查，坚决减存量、重点遏增量。</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信访专项2.24万元，主要用于加强信访举报宣传、畅通信访举报渠道，构建良好的信访举报秩序；加强信访举报培训，规范信访举报办理，提高办信质量和效率；完善检举举报平台建设。充分发挥问题线索“主渠道”、反腐民意“晴雨表”、领导决策“情报部”作用。</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5.派驻监督专项1.13万元，主要用于加强对监督单位的监督，推动主体责任的落实，加强反腐败建设。</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6.纪检信息化工程专项3.5万元，主要用于打造开放便捷的监督平台，以信息化促进纪检监察相关治理能力现代化，为党风廉政建设和反腐败斗争提供坚强有力的科技支撑和基础保障。</w:t>
      </w:r>
    </w:p>
    <w:p>
      <w:pPr>
        <w:widowControl/>
        <w:spacing w:line="6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三、部门整体支出绩效情况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全面落实各级文件政策要求和规定，厉行节约、严控“三公”经费、降低一般运行经费，从预算编制着手，到执行过程从严从紧，做到</w:t>
      </w:r>
      <w:r>
        <w:rPr>
          <w:rFonts w:ascii="仿宋_GB2312" w:hAnsi="仿宋_GB2312" w:eastAsia="仿宋_GB2312" w:cs="仿宋_GB2312"/>
          <w:sz w:val="32"/>
          <w:szCs w:val="32"/>
        </w:rPr>
        <w:t>量入为出，收支平衡，合理安排各项资金</w:t>
      </w:r>
      <w:r>
        <w:rPr>
          <w:rFonts w:ascii="Arial" w:hAnsi="Arial" w:cs="Arial"/>
          <w:color w:val="333333"/>
          <w:shd w:val="clear" w:color="auto" w:fill="FFFFFF"/>
        </w:rPr>
        <w:t>。</w:t>
      </w:r>
      <w:r>
        <w:rPr>
          <w:rFonts w:ascii="仿宋_GB2312" w:hAnsi="仿宋_GB2312" w:eastAsia="仿宋_GB2312" w:cs="仿宋_GB2312"/>
          <w:sz w:val="32"/>
          <w:szCs w:val="32"/>
        </w:rPr>
        <w:t>根据本部门职能、事业发展规划制订年度预算框架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以履行部门职能的需要为依据，</w:t>
      </w:r>
      <w:r>
        <w:rPr>
          <w:rFonts w:hint="eastAsia" w:ascii="仿宋_GB2312" w:hAnsi="仿宋_GB2312" w:eastAsia="仿宋_GB2312" w:cs="仿宋_GB2312"/>
          <w:sz w:val="32"/>
          <w:szCs w:val="32"/>
        </w:rPr>
        <w:t>加强项目支出管理。2020年，在长沙市纪委监委和雨花区委的坚强领导下，坚守协助职责和监督专责，强化政治监督，一体推进不敢腐、不能腐、不想腐，推动纪检监察工作高质量发展，营造风清气正的良好政治生态，为建设财富品质幸福雨花提供坚强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聚焦政治监督，增强“两个维护”自觉性坚定性。聚焦决战脱贫攻坚、“大干一百天、实现双过半”等开展监督检查，特别是在疫情期间，围绕统筹推进疫情防控和经济社会发展开展监督检查，下发督查专报58期，处置雨花亭街道7名公职人员防控失职失责问题。强化政治巡察。共组织开展4轮常规巡察，发现全面从严治党各类问题763个，问题线索24条，做好巡察整改“后半篇文章”，开展巡察整改督查3次，共清退违规发放及开支费用约101.51万元，督促村（社区）收回借款约200万元，建立健全或完善制度32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聚焦人民立场，整治群众身边腐败和作风问题。持续推进扶贫领域腐败和作风问题专项治理，深化“一季一专题”集中治理，深入跳马镇开展专项督查和“回头看”，下发通报1期，督促整改问题12个。持续推动扫黑除恶“打伞破网”。对问题线索一律提级核查、班子成员包案核查，建立问题线索双向移送、查办结果反馈机制。开展“一案三查”及“回头看”，受理相关问题线索53件，立案查处徐运君等15名“保护伞”“关系网”，处分处理16人，发出监察建议书3份，推动建立健全长效机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聚焦作风建设，拓展落实中央八项规定精神成果。持之以恒抓好作风建设，深入整治形式主义、官僚主义，紧盯“老问题、新动向”和各类节点，先后开展人防系统腐败问题专项治理和工程项目招投标突出问题专项整治。注重纠治并举，大力整治隐形变异问题，不定期对部门单位、特定场所进行“点穴式”“暗访式”检查。在每一个重要时间节点，均成立检查组、暗访组，对全区各单位、街镇开展节前作风专项监督检查。共查处违反中央八项规定精神问题32起，党纪政务处分33人，组织处理14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聚焦日常监督，强化对公权力运行的制约监督。加强对“一把手”在贯彻党的路线方针政策、执行制度、选人用人等方面的监督，坚决杜绝任性用权、搞“一言堂”。持续推行“全民监督”，健全检举举报平台处置子平台运行管理办法，班子成员坐班接访、包案办信，共受理业务内信访举报87件，注重专题分析，重点解决重复访、越级访问题，《做好“深”字文章，破解征地拆迁信访难题》专题报告受到省市纪委好评。严格执行提醒谈话制度，完善更新廉政档案，用好廉政意见回复，加大函询结果抽查核实力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聚焦系统施治，一体推进不敢腐不能腐不想腐。强化不敢腐的震慑。重点查处政治问题和经济问题交织等腐败问题，加大国有企业反腐力度，共处置问题线索276件，立案139件，给予党纪政务处分109人。深化运用“四种形态”，其中运用第一种形态批评教育帮助111人次。扎牢不能腐的“笼子”。以叶松案为镜鉴，全区深入开展“以案促改”工作，制发纪检监察建议书9份，督促区属国有企业完善工程招标等内控机制。增强不想腐的自觉。举行第十五届“4•20”廉政文化节，推进廉洁文化进校园，召开警示教育大会4场，推动召开叶松案“以案促改”专题民主生活会9场，通报曝光典型问题5期17起25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聚焦深化改革，进一步确保监督体系协同高效。深化双重领导体制，完善和落实“两为主一报告”机制，共向市纪委监委请示报告4次，向区委专题汇报党风廉政建设和反腐败工作情况2次。深化派驻机构改革，统筹安排派驻组长担任驻在部门党委（党组）成员，健全派驻组参加（列席）驻在单位会议工作办法，强化日常监督。深化监察体制改革，向雨花经开区派出监察机构，成立区监委派出街镇监察办公室。强化反腐败协调小组职能，加强成员单位协同配合。</w:t>
      </w:r>
    </w:p>
    <w:p>
      <w:pPr>
        <w:widowControl/>
        <w:spacing w:line="6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聚焦队伍建设，锻造高素质专业化纪检监察铁军。健全完善科级以下纪检监察干部“推-审-考”模式，选任街道纪工委副书记1名。深化“全员培训”，持续学习贯彻“两法三规”，举行班子成员理论中心组集中学习12次，参加“纪检监察云课堂”培训，举办全区纪检监察系统履职能力提升班，开展党纪法规知识在线学习测试、在线培训年终测试等。持续强化自我监督管理，围绕信访举报、线索处置、队伍建设等，对街镇纪（工）委开展调研督查。坚持“刀刃向内”，共收到有关纪检监察干部信访线索1件，谈话提醒1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四、存在的问题、分析及改进措施</w:t>
      </w:r>
    </w:p>
    <w:p>
      <w:pPr>
        <w:ind w:firstLine="640" w:firstLineChars="200"/>
        <w:rPr>
          <w:rFonts w:ascii="仿宋_GB2312" w:eastAsia="仿宋_GB2312"/>
          <w:sz w:val="32"/>
          <w:szCs w:val="32"/>
        </w:rPr>
      </w:pPr>
      <w:r>
        <w:rPr>
          <w:rFonts w:hint="eastAsia" w:ascii="仿宋_GB2312" w:eastAsia="仿宋_GB2312"/>
          <w:sz w:val="32"/>
          <w:szCs w:val="32"/>
        </w:rPr>
        <w:t>总体而言整体绩效目标完成较好，但在具体实施工作中存在一些问题和不足，主要体现在：</w:t>
      </w:r>
    </w:p>
    <w:p>
      <w:pPr>
        <w:ind w:firstLine="640" w:firstLineChars="200"/>
        <w:rPr>
          <w:rFonts w:ascii="仿宋_GB2312" w:eastAsia="仿宋_GB2312"/>
          <w:sz w:val="32"/>
          <w:szCs w:val="32"/>
        </w:rPr>
      </w:pPr>
      <w:r>
        <w:rPr>
          <w:rFonts w:hint="eastAsia" w:ascii="仿宋_GB2312" w:eastAsia="仿宋_GB2312"/>
          <w:sz w:val="32"/>
          <w:szCs w:val="32"/>
        </w:rPr>
        <w:t>1、预算完成率和政府采购执行率完成不理想，主要原因还是预算编制不够精确、细化，相关业务部门任务考量比较宽泛，预见性不够。在今后的工作中，将严谨预算申报工作，加强与业务部门的沟通，尽量把握预算的准确性，提高执行率。</w:t>
      </w:r>
    </w:p>
    <w:p>
      <w:pPr>
        <w:ind w:firstLine="640" w:firstLineChars="200"/>
        <w:rPr>
          <w:rFonts w:ascii="仿宋_GB2312" w:eastAsia="仿宋_GB2312"/>
          <w:sz w:val="32"/>
          <w:szCs w:val="32"/>
        </w:rPr>
      </w:pPr>
      <w:r>
        <w:rPr>
          <w:rFonts w:hint="eastAsia" w:ascii="仿宋_GB2312" w:eastAsia="仿宋_GB2312"/>
          <w:sz w:val="32"/>
          <w:szCs w:val="32"/>
        </w:rPr>
        <w:t>2、在管理制度健全性方面，没有做到及时更新完善内部财务管理制度、内控制度等，仅仅做到上传下达各类上级文件政策规定，没有形成内部完整的管理制度体系。在今后的工作中应提高认识，加强重视程度，规范相关内部制度。</w:t>
      </w:r>
    </w:p>
    <w:p>
      <w:pPr>
        <w:ind w:firstLine="640" w:firstLineChars="200"/>
        <w:rPr>
          <w:rFonts w:ascii="仿宋_GB2312" w:eastAsia="仿宋_GB2312"/>
          <w:sz w:val="32"/>
          <w:szCs w:val="32"/>
        </w:rPr>
      </w:pPr>
      <w:r>
        <w:rPr>
          <w:rFonts w:hint="eastAsia" w:ascii="仿宋_GB2312" w:eastAsia="仿宋_GB2312"/>
          <w:sz w:val="32"/>
          <w:szCs w:val="32"/>
        </w:rPr>
        <w:t>3、在资金使用上存在各项目之间的预算经费使用混淆，以及各项目经费及机关运行经费中部分资金使用没有严格按照预算的经济分类科目执行的问题。今后在日常工作中力争主观上严格规范预算执行。</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五、绩效自评结果拟应用和公开情况</w:t>
      </w:r>
    </w:p>
    <w:p>
      <w:pPr>
        <w:pStyle w:val="4"/>
        <w:widowControl/>
        <w:spacing w:beforeAutospacing="0" w:afterAutospacing="0" w:line="432" w:lineRule="atLeast"/>
        <w:ind w:firstLine="640" w:firstLineChars="200"/>
        <w:jc w:val="both"/>
        <w:rPr>
          <w:rFonts w:ascii="仿宋_GB2312" w:hAnsi="仿宋_GB2312" w:cs="仿宋_GB2312"/>
          <w:color w:val="000000"/>
          <w:sz w:val="32"/>
          <w:szCs w:val="32"/>
          <w:shd w:val="clear" w:color="auto" w:fill="FFFFFF"/>
        </w:rPr>
      </w:pPr>
      <w:r>
        <w:rPr>
          <w:rFonts w:hint="eastAsia" w:ascii="仿宋_GB2312"/>
          <w:sz w:val="32"/>
          <w:szCs w:val="32"/>
        </w:rPr>
        <w:t>根据绩效自评结果查缺补漏，</w:t>
      </w:r>
      <w:r>
        <w:rPr>
          <w:rFonts w:hint="eastAsia" w:ascii="仿宋_GB2312" w:hAnsi="仿宋_GB2312" w:cs="仿宋_GB2312"/>
          <w:color w:val="000000"/>
          <w:sz w:val="32"/>
          <w:szCs w:val="32"/>
          <w:shd w:val="clear" w:color="auto" w:fill="FFFFFF"/>
        </w:rPr>
        <w:t>深入分析各项目预算执行进度慢、绩效水平不高的具体原因，及时采取措施予以调整，更精准、合理安排后续资金的使用。</w:t>
      </w:r>
    </w:p>
    <w:p>
      <w:pPr>
        <w:pStyle w:val="4"/>
        <w:widowControl/>
        <w:spacing w:beforeAutospacing="0" w:afterAutospacing="0" w:line="432" w:lineRule="atLeast"/>
        <w:ind w:firstLine="640" w:firstLineChars="200"/>
        <w:jc w:val="both"/>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对于绩效自评结果按相关规定如实公开。</w:t>
      </w:r>
    </w:p>
    <w:p>
      <w:pPr>
        <w:ind w:firstLine="640" w:firstLineChars="200"/>
        <w:rPr>
          <w:rFonts w:ascii="仿宋_GB2312" w:eastAsia="仿宋_GB2312"/>
          <w:sz w:val="32"/>
          <w:szCs w:val="32"/>
        </w:rPr>
      </w:pPr>
    </w:p>
    <w:p>
      <w:pPr>
        <w:widowControl/>
        <w:spacing w:line="600" w:lineRule="exact"/>
        <w:ind w:firstLine="645"/>
        <w:jc w:val="left"/>
        <w:rPr>
          <w:rFonts w:ascii="仿宋_GB2312" w:hAnsi="仿宋_GB2312" w:eastAsia="仿宋_GB2312" w:cs="仿宋_GB2312"/>
          <w:b/>
          <w:bCs/>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spacing w:line="540" w:lineRule="exact"/>
        <w:rPr>
          <w:rFonts w:ascii="仿宋_GB2312" w:hAnsi="仿宋_GB2312" w:eastAsia="仿宋_GB2312" w:cs="仿宋_GB2312"/>
          <w:sz w:val="32"/>
          <w:szCs w:val="32"/>
        </w:rPr>
        <w:sectPr>
          <w:pgSz w:w="11906" w:h="16838"/>
          <w:pgMar w:top="1701" w:right="1587" w:bottom="1417" w:left="1701" w:header="851" w:footer="850"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505626"/>
    <w:rsid w:val="000047F3"/>
    <w:rsid w:val="00042F22"/>
    <w:rsid w:val="001253C4"/>
    <w:rsid w:val="001518EF"/>
    <w:rsid w:val="001C441C"/>
    <w:rsid w:val="001D7524"/>
    <w:rsid w:val="001E36B0"/>
    <w:rsid w:val="002158D1"/>
    <w:rsid w:val="00236B40"/>
    <w:rsid w:val="002371E1"/>
    <w:rsid w:val="0024116E"/>
    <w:rsid w:val="00265630"/>
    <w:rsid w:val="002D36EC"/>
    <w:rsid w:val="0035678D"/>
    <w:rsid w:val="00361C9F"/>
    <w:rsid w:val="003D0F6B"/>
    <w:rsid w:val="00442CB8"/>
    <w:rsid w:val="00465F96"/>
    <w:rsid w:val="00470B81"/>
    <w:rsid w:val="004B05DB"/>
    <w:rsid w:val="004D5517"/>
    <w:rsid w:val="00505626"/>
    <w:rsid w:val="00512409"/>
    <w:rsid w:val="00532760"/>
    <w:rsid w:val="0054549C"/>
    <w:rsid w:val="005E787F"/>
    <w:rsid w:val="0060197E"/>
    <w:rsid w:val="00654FF0"/>
    <w:rsid w:val="00682D71"/>
    <w:rsid w:val="007A5996"/>
    <w:rsid w:val="007E19E1"/>
    <w:rsid w:val="007F40B7"/>
    <w:rsid w:val="007F75BE"/>
    <w:rsid w:val="00803B49"/>
    <w:rsid w:val="00881777"/>
    <w:rsid w:val="00975124"/>
    <w:rsid w:val="00994EF0"/>
    <w:rsid w:val="009B1049"/>
    <w:rsid w:val="009D13AA"/>
    <w:rsid w:val="00A81A05"/>
    <w:rsid w:val="00A90156"/>
    <w:rsid w:val="00AB3C9E"/>
    <w:rsid w:val="00AD42A4"/>
    <w:rsid w:val="00B02ADD"/>
    <w:rsid w:val="00B757E8"/>
    <w:rsid w:val="00B76474"/>
    <w:rsid w:val="00B905D4"/>
    <w:rsid w:val="00BD1C60"/>
    <w:rsid w:val="00C01567"/>
    <w:rsid w:val="00C038EC"/>
    <w:rsid w:val="00C23FDD"/>
    <w:rsid w:val="00C904DD"/>
    <w:rsid w:val="00C914DE"/>
    <w:rsid w:val="00C915C3"/>
    <w:rsid w:val="00C9390D"/>
    <w:rsid w:val="00CA14E8"/>
    <w:rsid w:val="00D853A7"/>
    <w:rsid w:val="00E01F7A"/>
    <w:rsid w:val="00E5506A"/>
    <w:rsid w:val="00E60E88"/>
    <w:rsid w:val="00E66D87"/>
    <w:rsid w:val="00E700AE"/>
    <w:rsid w:val="00ED3569"/>
    <w:rsid w:val="00F261A0"/>
    <w:rsid w:val="00F3610B"/>
    <w:rsid w:val="00F6758F"/>
    <w:rsid w:val="00F71E2F"/>
    <w:rsid w:val="00FE7AE5"/>
    <w:rsid w:val="00FF2770"/>
    <w:rsid w:val="248E7DE0"/>
    <w:rsid w:val="32EB4AE7"/>
    <w:rsid w:val="509E79D2"/>
    <w:rsid w:val="548A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eastAsia="仿宋_GB2312"/>
      <w:kern w:val="0"/>
      <w:sz w:val="24"/>
      <w:szCs w:val="20"/>
    </w:rPr>
  </w:style>
  <w:style w:type="paragraph" w:styleId="7">
    <w:name w:val="List Paragraph"/>
    <w:basedOn w:val="1"/>
    <w:qFormat/>
    <w:uiPriority w:val="99"/>
    <w:pPr>
      <w:ind w:firstLine="420" w:firstLineChars="200"/>
    </w:pPr>
    <w:rPr>
      <w:rFonts w:ascii="Calibri" w:hAnsi="Calibri"/>
      <w:szCs w:val="22"/>
    </w:rPr>
  </w:style>
  <w:style w:type="character" w:customStyle="1" w:styleId="8">
    <w:name w:val="页眉 Char"/>
    <w:basedOn w:val="6"/>
    <w:link w:val="3"/>
    <w:semiHidden/>
    <w:uiPriority w:val="99"/>
    <w:rPr>
      <w:rFonts w:ascii="Times New Roman" w:hAnsi="Times New Roman" w:eastAsia="宋体" w:cs="Times New Roman"/>
      <w:sz w:val="18"/>
      <w:szCs w:val="18"/>
    </w:rPr>
  </w:style>
  <w:style w:type="character" w:customStyle="1" w:styleId="9">
    <w:name w:val="页脚 Char"/>
    <w:basedOn w:val="6"/>
    <w:link w:val="2"/>
    <w:semiHidden/>
    <w:uiPriority w:val="99"/>
    <w:rPr>
      <w:rFonts w:ascii="Times New Roman" w:hAnsi="Times New Roman" w:eastAsia="宋体" w:cs="Times New Roman"/>
      <w:sz w:val="18"/>
      <w:szCs w:val="18"/>
    </w:rPr>
  </w:style>
  <w:style w:type="character" w:customStyle="1" w:styleId="10">
    <w:name w:val="font41"/>
    <w:basedOn w:val="6"/>
    <w:qFormat/>
    <w:uiPriority w:val="0"/>
    <w:rPr>
      <w:rFonts w:hint="eastAsia" w:ascii="宋体" w:hAnsi="宋体" w:eastAsia="宋体" w:cs="宋体"/>
      <w:color w:val="000000"/>
      <w:sz w:val="18"/>
      <w:szCs w:val="18"/>
      <w:u w:val="none"/>
    </w:rPr>
  </w:style>
  <w:style w:type="character" w:customStyle="1" w:styleId="11">
    <w:name w:val="font31"/>
    <w:basedOn w:val="6"/>
    <w:qFormat/>
    <w:uiPriority w:val="0"/>
    <w:rPr>
      <w:rFonts w:hint="default" w:ascii="Times New Roman" w:hAnsi="Times New Roman" w:cs="Times New Roman"/>
      <w:color w:val="000000"/>
      <w:sz w:val="18"/>
      <w:szCs w:val="18"/>
      <w:u w:val="none"/>
    </w:rPr>
  </w:style>
  <w:style w:type="character" w:customStyle="1" w:styleId="12">
    <w:name w:val="font21"/>
    <w:basedOn w:val="6"/>
    <w:qFormat/>
    <w:uiPriority w:val="0"/>
    <w:rPr>
      <w:rFonts w:hint="eastAsia" w:ascii="宋体" w:hAnsi="宋体" w:eastAsia="宋体" w:cs="宋体"/>
      <w:color w:val="FF0000"/>
      <w:sz w:val="18"/>
      <w:szCs w:val="18"/>
      <w:u w:val="none"/>
    </w:rPr>
  </w:style>
  <w:style w:type="character" w:customStyle="1" w:styleId="13">
    <w:name w:val="font11"/>
    <w:basedOn w:val="6"/>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1330</Words>
  <Characters>7582</Characters>
  <Lines>63</Lines>
  <Paragraphs>17</Paragraphs>
  <TotalTime>169</TotalTime>
  <ScaleCrop>false</ScaleCrop>
  <LinksUpToDate>false</LinksUpToDate>
  <CharactersWithSpaces>8895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2021-02-23T02:13:00Z</dcterms:created>
  <dc:creator>lenovo-4</dc:creator>
  <cp:lastModifiedBy>Administrator</cp:lastModifiedBy>
  <dcterms:modified xsi:type="dcterms:W3CDTF">2023-11-20T03:02:50Z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CD44C9470D834B208BF93AFAF05A4D0A_13</vt:lpwstr>
  </property>
</Properties>
</file>