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80"/>
        </w:tabs>
        <w:snapToGrid w:val="0"/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adjustRightInd w:val="0"/>
        <w:snapToGrid w:val="0"/>
        <w:spacing w:before="240" w:beforeLines="100"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eastAsia="方正大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公共机构停止使用不可降解一次性 </w:t>
      </w:r>
    </w:p>
    <w:p>
      <w:pPr>
        <w:adjustRightInd w:val="0"/>
        <w:snapToGrid w:val="0"/>
        <w:spacing w:after="360" w:afterLines="150"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塑料制品名录（第一批）</w:t>
      </w:r>
    </w:p>
    <w:bookmarkEnd w:id="0"/>
    <w:p>
      <w:pPr>
        <w:numPr>
          <w:ilvl w:val="0"/>
          <w:numId w:val="1"/>
        </w:numPr>
        <w:adjustRightInd w:val="0"/>
        <w:spacing w:line="590" w:lineRule="exact"/>
        <w:ind w:firstLine="616" w:firstLineChars="200"/>
        <w:textAlignment w:val="baseline"/>
        <w:rPr>
          <w:rFonts w:eastAsia="仿宋_GB2312"/>
          <w:bCs/>
          <w:spacing w:val="-6"/>
          <w:kern w:val="0"/>
          <w:sz w:val="32"/>
          <w:szCs w:val="32"/>
        </w:rPr>
      </w:pPr>
      <w:r>
        <w:rPr>
          <w:rFonts w:eastAsia="仿宋_GB2312"/>
          <w:bCs/>
          <w:spacing w:val="-6"/>
          <w:kern w:val="0"/>
          <w:sz w:val="32"/>
          <w:szCs w:val="32"/>
        </w:rPr>
        <w:t xml:space="preserve">不可降解一次性塑料餐盒：不可降解一次性塑料盒、碗、 盘、碟等。 </w:t>
      </w:r>
    </w:p>
    <w:p>
      <w:pPr>
        <w:numPr>
          <w:ilvl w:val="0"/>
          <w:numId w:val="1"/>
        </w:numPr>
        <w:adjustRightInd w:val="0"/>
        <w:spacing w:line="590" w:lineRule="exact"/>
        <w:ind w:firstLine="616" w:firstLineChars="200"/>
        <w:textAlignment w:val="baseline"/>
        <w:rPr>
          <w:rFonts w:eastAsia="仿宋_GB2312"/>
          <w:bCs/>
          <w:spacing w:val="-6"/>
          <w:kern w:val="0"/>
          <w:sz w:val="32"/>
          <w:szCs w:val="32"/>
        </w:rPr>
      </w:pPr>
      <w:r>
        <w:rPr>
          <w:rFonts w:eastAsia="仿宋_GB2312"/>
          <w:bCs/>
          <w:spacing w:val="-6"/>
          <w:kern w:val="0"/>
          <w:sz w:val="32"/>
          <w:szCs w:val="32"/>
        </w:rPr>
        <w:t xml:space="preserve">不可降解一次性塑料餐具：不可降解一次性塑料刀、叉、勺等（不包括预包装食品使用的一次性塑料餐具）。 </w:t>
      </w:r>
    </w:p>
    <w:p>
      <w:pPr>
        <w:numPr>
          <w:ilvl w:val="0"/>
          <w:numId w:val="1"/>
        </w:numPr>
        <w:adjustRightInd w:val="0"/>
        <w:spacing w:line="590" w:lineRule="exact"/>
        <w:ind w:firstLine="616" w:firstLineChars="200"/>
        <w:textAlignment w:val="baseline"/>
        <w:rPr>
          <w:rFonts w:eastAsia="仿宋_GB2312"/>
          <w:bCs/>
          <w:spacing w:val="-6"/>
          <w:kern w:val="0"/>
          <w:sz w:val="32"/>
          <w:szCs w:val="32"/>
        </w:rPr>
      </w:pPr>
      <w:r>
        <w:rPr>
          <w:rFonts w:eastAsia="仿宋_GB2312"/>
          <w:bCs/>
          <w:spacing w:val="-6"/>
          <w:kern w:val="0"/>
          <w:sz w:val="32"/>
          <w:szCs w:val="32"/>
        </w:rPr>
        <w:t xml:space="preserve">不可降解一次性塑料吸管（不包括牛奶、饮料等食品外包装上自带的塑料吸管）。 </w:t>
      </w:r>
    </w:p>
    <w:p>
      <w:pPr>
        <w:numPr>
          <w:ilvl w:val="0"/>
          <w:numId w:val="1"/>
        </w:numPr>
        <w:adjustRightInd w:val="0"/>
        <w:spacing w:line="590" w:lineRule="exact"/>
        <w:ind w:firstLine="616" w:firstLineChars="200"/>
        <w:textAlignment w:val="baseline"/>
        <w:rPr>
          <w:rFonts w:eastAsia="仿宋_GB2312"/>
          <w:bCs/>
          <w:spacing w:val="-6"/>
          <w:kern w:val="0"/>
          <w:sz w:val="32"/>
          <w:szCs w:val="32"/>
        </w:rPr>
      </w:pPr>
      <w:r>
        <w:rPr>
          <w:rFonts w:eastAsia="仿宋_GB2312"/>
          <w:bCs/>
          <w:spacing w:val="-6"/>
          <w:kern w:val="0"/>
          <w:sz w:val="32"/>
          <w:szCs w:val="32"/>
        </w:rPr>
        <w:t>一次性塑料水杯、饮料杯。</w:t>
      </w:r>
    </w:p>
    <w:p>
      <w:pPr>
        <w:numPr>
          <w:ilvl w:val="0"/>
          <w:numId w:val="1"/>
        </w:numPr>
        <w:adjustRightInd w:val="0"/>
        <w:spacing w:line="590" w:lineRule="exact"/>
        <w:ind w:firstLine="616" w:firstLineChars="200"/>
        <w:textAlignment w:val="baseline"/>
        <w:rPr>
          <w:rFonts w:eastAsia="仿宋_GB2312"/>
          <w:bCs/>
          <w:spacing w:val="-6"/>
          <w:kern w:val="0"/>
          <w:sz w:val="32"/>
          <w:szCs w:val="32"/>
        </w:rPr>
      </w:pPr>
      <w:r>
        <w:rPr>
          <w:rFonts w:eastAsia="仿宋_GB2312"/>
          <w:bCs/>
          <w:spacing w:val="-6"/>
          <w:kern w:val="0"/>
          <w:sz w:val="32"/>
          <w:szCs w:val="32"/>
        </w:rPr>
        <w:t xml:space="preserve">厚度小于0.025毫米的超薄塑料购物袋。 </w:t>
      </w:r>
    </w:p>
    <w:p>
      <w:pPr>
        <w:numPr>
          <w:ilvl w:val="0"/>
          <w:numId w:val="1"/>
        </w:numPr>
        <w:adjustRightInd w:val="0"/>
        <w:spacing w:line="590" w:lineRule="exact"/>
        <w:ind w:firstLine="616" w:firstLineChars="200"/>
        <w:textAlignment w:val="baseline"/>
        <w:rPr>
          <w:rFonts w:eastAsia="仿宋_GB2312"/>
          <w:bCs/>
          <w:spacing w:val="-6"/>
          <w:kern w:val="0"/>
          <w:sz w:val="32"/>
          <w:szCs w:val="32"/>
        </w:rPr>
      </w:pPr>
      <w:r>
        <w:rPr>
          <w:rFonts w:eastAsia="仿宋_GB2312"/>
          <w:bCs/>
          <w:spacing w:val="-6"/>
          <w:kern w:val="0"/>
          <w:sz w:val="32"/>
          <w:szCs w:val="32"/>
        </w:rPr>
        <w:t>含塑料微珠的日化产品。</w:t>
      </w:r>
    </w:p>
    <w:p>
      <w:pPr>
        <w:adjustRightInd w:val="0"/>
        <w:spacing w:line="590" w:lineRule="exact"/>
        <w:ind w:firstLine="616" w:firstLineChars="200"/>
        <w:textAlignment w:val="baseline"/>
        <w:rPr>
          <w:rFonts w:eastAsia="仿宋_GB2312"/>
          <w:bCs/>
          <w:spacing w:val="-6"/>
          <w:kern w:val="0"/>
          <w:sz w:val="32"/>
          <w:szCs w:val="32"/>
        </w:rPr>
      </w:pPr>
    </w:p>
    <w:p>
      <w:pPr>
        <w:adjustRightInd w:val="0"/>
        <w:spacing w:line="590" w:lineRule="exact"/>
        <w:ind w:firstLine="616" w:firstLineChars="200"/>
        <w:textAlignment w:val="baseline"/>
        <w:rPr>
          <w:rFonts w:hint="eastAsia"/>
        </w:rPr>
      </w:pPr>
      <w:r>
        <w:rPr>
          <w:rFonts w:eastAsia="仿宋_GB2312"/>
          <w:bCs/>
          <w:spacing w:val="-6"/>
          <w:kern w:val="0"/>
          <w:sz w:val="32"/>
          <w:szCs w:val="32"/>
        </w:rPr>
        <w:t>说明：不可降解材料是指含聚乙烯、聚丙烯、聚苯乙烯、聚氯乙烯、乙烯-醋酸乙烯、聚对苯二甲酸乙二醇酯等非生物降解高分子材料。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AE98D"/>
    <w:multiLevelType w:val="singleLevel"/>
    <w:tmpl w:val="3DEAE98D"/>
    <w:lvl w:ilvl="0" w:tentative="0">
      <w:start w:val="1"/>
      <w:numFmt w:val="decimal"/>
      <w:suff w:val="nothing"/>
      <w:lvlText w:val="%1．"/>
      <w:lvlJc w:val="left"/>
      <w:pPr>
        <w:ind w:left="0" w:firstLine="4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F9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adjustRightInd/>
      <w:spacing w:after="120" w:line="240" w:lineRule="auto"/>
      <w:ind w:left="420" w:leftChars="200" w:firstLine="420" w:firstLineChars="200"/>
    </w:pPr>
    <w:rPr>
      <w:rFonts w:ascii="Times New Roman" w:hAnsi="Times New Roman" w:eastAsia="仿宋_GB2312" w:cs="Times New Roman"/>
      <w:sz w:val="32"/>
    </w:r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2021-09-30T02:21:28Z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