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cs="宋体"/>
          <w:kern w:val="0"/>
          <w:sz w:val="32"/>
          <w:szCs w:val="32"/>
        </w:rPr>
      </w:pPr>
      <w:r>
        <w:rPr>
          <w:rFonts w:hint="eastAsia" w:eastAsia="黑体" w:cs="宋体"/>
          <w:kern w:val="0"/>
          <w:sz w:val="32"/>
          <w:szCs w:val="32"/>
        </w:rPr>
        <w:t>附件2</w:t>
      </w:r>
    </w:p>
    <w:p>
      <w:pPr>
        <w:spacing w:line="540" w:lineRule="exact"/>
        <w:jc w:val="center"/>
        <w:rPr>
          <w:rFonts w:hint="eastAsia" w:eastAsia="方正小标宋简体" w:cs="宋体"/>
          <w:bCs/>
          <w:spacing w:val="-23"/>
          <w:kern w:val="0"/>
          <w:sz w:val="44"/>
          <w:szCs w:val="44"/>
        </w:rPr>
      </w:pPr>
      <w:bookmarkStart w:id="0" w:name="_GoBack"/>
      <w:r>
        <w:rPr>
          <w:rFonts w:hint="eastAsia" w:eastAsia="方正小标宋简体" w:cs="宋体"/>
          <w:bCs/>
          <w:spacing w:val="-23"/>
          <w:kern w:val="0"/>
          <w:sz w:val="44"/>
          <w:szCs w:val="44"/>
        </w:rPr>
        <w:t>长沙市雨花区本级涉企行政事业性收费目录清单</w:t>
      </w:r>
    </w:p>
    <w:bookmarkEnd w:id="0"/>
    <w:p>
      <w:pPr>
        <w:spacing w:line="540" w:lineRule="exact"/>
        <w:jc w:val="center"/>
        <w:rPr>
          <w:rFonts w:hint="eastAsia" w:eastAsia="楷体_GB2312" w:cs="宋体"/>
          <w:bCs/>
          <w:kern w:val="0"/>
          <w:sz w:val="32"/>
          <w:szCs w:val="32"/>
        </w:rPr>
      </w:pPr>
      <w:r>
        <w:rPr>
          <w:rFonts w:hint="eastAsia" w:eastAsia="楷体_GB2312" w:cs="宋体"/>
          <w:bCs/>
          <w:kern w:val="0"/>
          <w:sz w:val="32"/>
          <w:szCs w:val="32"/>
        </w:rPr>
        <w:t>（截至2021年9月底）</w:t>
      </w:r>
    </w:p>
    <w:p>
      <w:pPr>
        <w:spacing w:line="540" w:lineRule="exact"/>
        <w:rPr>
          <w:rFonts w:hint="eastAsia" w:eastAsia="仿宋_GB2312" w:cs="宋体"/>
          <w:spacing w:val="-4"/>
          <w:kern w:val="0"/>
          <w:sz w:val="28"/>
          <w:szCs w:val="28"/>
        </w:rPr>
      </w:pPr>
      <w:r>
        <w:rPr>
          <w:rFonts w:hint="eastAsia" w:eastAsia="仿宋_GB2312" w:cs="宋体"/>
          <w:spacing w:val="-4"/>
          <w:kern w:val="0"/>
          <w:sz w:val="28"/>
          <w:szCs w:val="28"/>
        </w:rPr>
        <w:t>现将调整后的《长沙市雨花区本级涉企行政事业性收费目录清单》公布如下：</w:t>
      </w:r>
    </w:p>
    <w:tbl>
      <w:tblPr>
        <w:tblStyle w:val="3"/>
        <w:tblW w:w="935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990"/>
        <w:gridCol w:w="700"/>
        <w:gridCol w:w="1170"/>
        <w:gridCol w:w="790"/>
        <w:gridCol w:w="826"/>
        <w:gridCol w:w="3241"/>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58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序号</w:t>
            </w:r>
          </w:p>
        </w:tc>
        <w:tc>
          <w:tcPr>
            <w:tcW w:w="99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部门</w:t>
            </w:r>
          </w:p>
        </w:tc>
        <w:tc>
          <w:tcPr>
            <w:tcW w:w="70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项目</w:t>
            </w:r>
            <w:r>
              <w:rPr>
                <w:rFonts w:eastAsia="黑体"/>
                <w:bCs/>
                <w:color w:val="000000"/>
                <w:kern w:val="0"/>
                <w:szCs w:val="21"/>
              </w:rPr>
              <w:br w:type="textWrapping"/>
            </w:r>
            <w:r>
              <w:rPr>
                <w:rFonts w:eastAsia="黑体"/>
                <w:bCs/>
                <w:color w:val="000000"/>
                <w:kern w:val="0"/>
                <w:szCs w:val="21"/>
              </w:rPr>
              <w:t>序号</w:t>
            </w:r>
          </w:p>
        </w:tc>
        <w:tc>
          <w:tcPr>
            <w:tcW w:w="117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项目名称</w:t>
            </w:r>
          </w:p>
        </w:tc>
        <w:tc>
          <w:tcPr>
            <w:tcW w:w="79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收费标准</w:t>
            </w:r>
          </w:p>
        </w:tc>
        <w:tc>
          <w:tcPr>
            <w:tcW w:w="826"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立项</w:t>
            </w:r>
            <w:r>
              <w:rPr>
                <w:rFonts w:eastAsia="黑体"/>
                <w:bCs/>
                <w:color w:val="000000"/>
                <w:kern w:val="0"/>
                <w:szCs w:val="21"/>
              </w:rPr>
              <w:br w:type="textWrapping"/>
            </w:r>
            <w:r>
              <w:rPr>
                <w:rFonts w:eastAsia="黑体"/>
                <w:bCs/>
                <w:color w:val="000000"/>
                <w:kern w:val="0"/>
                <w:szCs w:val="21"/>
              </w:rPr>
              <w:t>级次</w:t>
            </w:r>
          </w:p>
        </w:tc>
        <w:tc>
          <w:tcPr>
            <w:tcW w:w="3241"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政策依据</w:t>
            </w:r>
          </w:p>
        </w:tc>
        <w:tc>
          <w:tcPr>
            <w:tcW w:w="1060" w:type="dxa"/>
            <w:shd w:val="clear" w:color="auto" w:fill="auto"/>
            <w:vAlign w:val="center"/>
          </w:tcPr>
          <w:p>
            <w:pPr>
              <w:widowControl/>
              <w:jc w:val="center"/>
              <w:rPr>
                <w:rFonts w:eastAsia="黑体"/>
                <w:bCs/>
                <w:color w:val="000000"/>
                <w:kern w:val="0"/>
                <w:szCs w:val="21"/>
              </w:rPr>
            </w:pPr>
            <w:r>
              <w:rPr>
                <w:rFonts w:eastAsia="黑体"/>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80" w:type="dxa"/>
            <w:shd w:val="clear" w:color="auto" w:fill="auto"/>
            <w:vAlign w:val="center"/>
          </w:tcPr>
          <w:p>
            <w:pPr>
              <w:widowControl/>
              <w:jc w:val="center"/>
              <w:rPr>
                <w:rFonts w:eastAsia="仿宋_GB2312"/>
                <w:bCs/>
                <w:color w:val="000000"/>
                <w:kern w:val="0"/>
                <w:szCs w:val="21"/>
              </w:rPr>
            </w:pPr>
            <w:r>
              <w:rPr>
                <w:rFonts w:eastAsia="仿宋_GB2312"/>
                <w:bCs/>
                <w:color w:val="000000"/>
                <w:kern w:val="0"/>
                <w:szCs w:val="21"/>
              </w:rPr>
              <w:t>一</w:t>
            </w:r>
          </w:p>
        </w:tc>
        <w:tc>
          <w:tcPr>
            <w:tcW w:w="990" w:type="dxa"/>
            <w:shd w:val="clear" w:color="auto" w:fill="auto"/>
            <w:vAlign w:val="center"/>
          </w:tcPr>
          <w:p>
            <w:pPr>
              <w:widowControl/>
              <w:jc w:val="center"/>
              <w:rPr>
                <w:rFonts w:eastAsia="仿宋_GB2312"/>
                <w:bCs/>
                <w:color w:val="000000"/>
                <w:kern w:val="0"/>
                <w:szCs w:val="21"/>
              </w:rPr>
            </w:pPr>
            <w:r>
              <w:rPr>
                <w:rFonts w:eastAsia="仿宋_GB2312"/>
                <w:bCs/>
                <w:color w:val="000000"/>
                <w:kern w:val="0"/>
                <w:szCs w:val="21"/>
              </w:rPr>
              <w:t>住房城</w:t>
            </w:r>
            <w:r>
              <w:rPr>
                <w:rFonts w:eastAsia="仿宋_GB2312"/>
                <w:bCs/>
                <w:color w:val="000000"/>
                <w:kern w:val="0"/>
                <w:szCs w:val="21"/>
              </w:rPr>
              <w:br w:type="textWrapping"/>
            </w:r>
            <w:r>
              <w:rPr>
                <w:rFonts w:eastAsia="仿宋_GB2312"/>
                <w:bCs/>
                <w:color w:val="000000"/>
                <w:kern w:val="0"/>
                <w:szCs w:val="21"/>
              </w:rPr>
              <w:t>乡建设</w:t>
            </w:r>
          </w:p>
        </w:tc>
        <w:tc>
          <w:tcPr>
            <w:tcW w:w="70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1</w:t>
            </w:r>
          </w:p>
        </w:tc>
        <w:tc>
          <w:tcPr>
            <w:tcW w:w="1170"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1、城市道路占用、挖掘修复费</w:t>
            </w:r>
          </w:p>
        </w:tc>
        <w:tc>
          <w:tcPr>
            <w:tcW w:w="79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见文件</w:t>
            </w:r>
          </w:p>
        </w:tc>
        <w:tc>
          <w:tcPr>
            <w:tcW w:w="826"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中央</w:t>
            </w:r>
          </w:p>
        </w:tc>
        <w:tc>
          <w:tcPr>
            <w:tcW w:w="3241"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《城市道路管理条例》，建城〔1993〕410号，财税〔2015〕68号，财办税〔2020〕13号，湘发改价费规〔2021〕48号</w:t>
            </w:r>
          </w:p>
        </w:tc>
        <w:tc>
          <w:tcPr>
            <w:tcW w:w="106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9357" w:type="dxa"/>
            <w:gridSpan w:val="8"/>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备注:1、本清单为区本级执收的涉企行政事业性收费项目。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2、排污权有偿使用费、河道砂石资源有偿使用费属于国有资源有偿使用收入，不作为行政事业性收费管理。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3、人防工程及设施毁损赔（补）偿费不再作为行政事业性收费管理。对人防工程及设施造成毁损的，应按照《中华人民共和国人民防空法》的规定，依法赔偿损失。</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4、破损公路及公路设施赔补偿费和公路占用费不再作为行政事业性收费项目管理，改作国有资源（资产）有偿使用收入管理。造成公路及公路设施破损以及占用公路的，应按照《中华人民共和国公路法》、交通运输部《路政管理规定》，依法进行赔偿或补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479FE"/>
    <w:rsid w:val="6B6B7D99"/>
    <w:rsid w:val="6E24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2021-11-22T07:54:00Z</dcterms:created>
  <dc:creator>区发改局</dc:creator>
  <cp:lastModifiedBy>区发改局</cp:lastModifiedBy>
  <dcterms:modified xsi:type="dcterms:W3CDTF">2021-11-22T07:57:14Z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