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eastAsia="黑体" w:cs="宋体"/>
          <w:kern w:val="0"/>
          <w:sz w:val="32"/>
          <w:szCs w:val="32"/>
        </w:rPr>
      </w:pPr>
      <w:r>
        <w:rPr>
          <w:rFonts w:hint="eastAsia" w:eastAsia="黑体" w:cs="宋体"/>
          <w:kern w:val="0"/>
          <w:sz w:val="32"/>
          <w:szCs w:val="32"/>
        </w:rPr>
        <w:t>附件1</w:t>
      </w:r>
    </w:p>
    <w:p>
      <w:pPr>
        <w:spacing w:line="540" w:lineRule="exact"/>
        <w:jc w:val="center"/>
        <w:rPr>
          <w:rFonts w:hint="eastAsia" w:eastAsia="方正小标宋简体" w:cs="宋体"/>
          <w:bCs/>
          <w:spacing w:val="-11"/>
          <w:kern w:val="0"/>
          <w:sz w:val="44"/>
          <w:szCs w:val="44"/>
        </w:rPr>
      </w:pPr>
      <w:bookmarkStart w:id="0" w:name="_GoBack"/>
      <w:r>
        <w:rPr>
          <w:rFonts w:hint="eastAsia" w:eastAsia="方正小标宋简体" w:cs="宋体"/>
          <w:bCs/>
          <w:spacing w:val="-11"/>
          <w:kern w:val="0"/>
          <w:sz w:val="44"/>
          <w:szCs w:val="44"/>
        </w:rPr>
        <w:t>长沙市雨花区本级行政事业性收费目录清单</w:t>
      </w:r>
    </w:p>
    <w:bookmarkEnd w:id="0"/>
    <w:p>
      <w:pPr>
        <w:spacing w:line="540" w:lineRule="exact"/>
        <w:jc w:val="center"/>
        <w:rPr>
          <w:rFonts w:hint="eastAsia" w:eastAsia="楷体_GB2312" w:cs="宋体"/>
          <w:bCs/>
          <w:kern w:val="0"/>
          <w:sz w:val="32"/>
          <w:szCs w:val="32"/>
        </w:rPr>
      </w:pPr>
      <w:r>
        <w:rPr>
          <w:rFonts w:hint="eastAsia" w:eastAsia="楷体_GB2312" w:cs="宋体"/>
          <w:bCs/>
          <w:kern w:val="0"/>
          <w:sz w:val="32"/>
          <w:szCs w:val="32"/>
        </w:rPr>
        <w:t>（截至2021年9月底）</w:t>
      </w:r>
    </w:p>
    <w:p>
      <w:pPr>
        <w:spacing w:line="540" w:lineRule="exact"/>
        <w:rPr>
          <w:rFonts w:hint="eastAsia" w:eastAsia="仿宋_GB2312" w:cs="宋体"/>
          <w:kern w:val="0"/>
          <w:sz w:val="28"/>
          <w:szCs w:val="28"/>
        </w:rPr>
      </w:pPr>
      <w:r>
        <w:rPr>
          <w:rFonts w:hint="eastAsia" w:eastAsia="仿宋_GB2312" w:cs="宋体"/>
          <w:kern w:val="0"/>
          <w:sz w:val="28"/>
          <w:szCs w:val="28"/>
        </w:rPr>
        <w:t>现将调整后的《长沙市雨花区本级行政事业性收费目录清单》公布下：</w:t>
      </w:r>
    </w:p>
    <w:tbl>
      <w:tblPr>
        <w:tblStyle w:val="3"/>
        <w:tblW w:w="10113" w:type="dxa"/>
        <w:tblInd w:w="-424" w:type="dxa"/>
        <w:tblLayout w:type="fixed"/>
        <w:tblCellMar>
          <w:top w:w="0" w:type="dxa"/>
          <w:left w:w="108" w:type="dxa"/>
          <w:bottom w:w="0" w:type="dxa"/>
          <w:right w:w="108" w:type="dxa"/>
        </w:tblCellMar>
      </w:tblPr>
      <w:tblGrid>
        <w:gridCol w:w="580"/>
        <w:gridCol w:w="920"/>
        <w:gridCol w:w="698"/>
        <w:gridCol w:w="1358"/>
        <w:gridCol w:w="2433"/>
        <w:gridCol w:w="756"/>
        <w:gridCol w:w="2522"/>
        <w:gridCol w:w="846"/>
      </w:tblGrid>
      <w:tr>
        <w:tblPrEx>
          <w:tblLayout w:type="fixed"/>
          <w:tblCellMar>
            <w:top w:w="0" w:type="dxa"/>
            <w:left w:w="108" w:type="dxa"/>
            <w:bottom w:w="0" w:type="dxa"/>
            <w:right w:w="108" w:type="dxa"/>
          </w:tblCellMar>
        </w:tblPrEx>
        <w:trPr>
          <w:trHeight w:val="567"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序号</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部门</w:t>
            </w:r>
          </w:p>
        </w:tc>
        <w:tc>
          <w:tcPr>
            <w:tcW w:w="698"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项目</w:t>
            </w:r>
            <w:r>
              <w:rPr>
                <w:rFonts w:hint="eastAsia" w:ascii="黑体" w:eastAsia="黑体"/>
                <w:bCs/>
                <w:color w:val="000000"/>
                <w:kern w:val="0"/>
                <w:szCs w:val="21"/>
              </w:rPr>
              <w:br w:type="textWrapping"/>
            </w:r>
            <w:r>
              <w:rPr>
                <w:rFonts w:hint="eastAsia" w:ascii="黑体" w:eastAsia="黑体"/>
                <w:bCs/>
                <w:color w:val="000000"/>
                <w:kern w:val="0"/>
                <w:szCs w:val="21"/>
              </w:rPr>
              <w:t>序号</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项目名称</w:t>
            </w:r>
          </w:p>
        </w:tc>
        <w:tc>
          <w:tcPr>
            <w:tcW w:w="2433"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收费标准</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立项</w:t>
            </w:r>
            <w:r>
              <w:rPr>
                <w:rFonts w:hint="eastAsia" w:ascii="黑体" w:eastAsia="黑体"/>
                <w:bCs/>
                <w:color w:val="000000"/>
                <w:kern w:val="0"/>
                <w:szCs w:val="21"/>
              </w:rPr>
              <w:br w:type="textWrapping"/>
            </w:r>
            <w:r>
              <w:rPr>
                <w:rFonts w:hint="eastAsia" w:ascii="黑体" w:eastAsia="黑体"/>
                <w:bCs/>
                <w:color w:val="000000"/>
                <w:kern w:val="0"/>
                <w:szCs w:val="21"/>
              </w:rPr>
              <w:t>级次</w:t>
            </w:r>
          </w:p>
        </w:tc>
        <w:tc>
          <w:tcPr>
            <w:tcW w:w="2522" w:type="dxa"/>
            <w:tcBorders>
              <w:top w:val="single" w:color="auto" w:sz="4" w:space="0"/>
              <w:left w:val="nil"/>
              <w:bottom w:val="single" w:color="auto" w:sz="4" w:space="0"/>
              <w:right w:val="single" w:color="000000"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政策依据</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center"/>
              <w:rPr>
                <w:rFonts w:hint="eastAsia" w:ascii="黑体" w:eastAsia="黑体"/>
                <w:bCs/>
                <w:color w:val="000000"/>
                <w:kern w:val="0"/>
                <w:szCs w:val="21"/>
              </w:rPr>
            </w:pPr>
            <w:r>
              <w:rPr>
                <w:rFonts w:hint="eastAsia" w:ascii="黑体" w:eastAsia="黑体"/>
                <w:bCs/>
                <w:color w:val="000000"/>
                <w:kern w:val="0"/>
                <w:szCs w:val="21"/>
              </w:rPr>
              <w:t>备注</w:t>
            </w:r>
          </w:p>
        </w:tc>
      </w:tr>
      <w:tr>
        <w:tblPrEx>
          <w:tblLayout w:type="fixed"/>
          <w:tblCellMar>
            <w:top w:w="0" w:type="dxa"/>
            <w:left w:w="108" w:type="dxa"/>
            <w:bottom w:w="0" w:type="dxa"/>
            <w:right w:w="108" w:type="dxa"/>
          </w:tblCellMar>
        </w:tblPrEx>
        <w:trPr>
          <w:trHeight w:val="567" w:hRule="atLeast"/>
        </w:trPr>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一</w:t>
            </w:r>
          </w:p>
        </w:tc>
        <w:tc>
          <w:tcPr>
            <w:tcW w:w="9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教育</w:t>
            </w: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1、公办幼儿园保教费、住宿费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一级幼儿园保教费700元/生·月，住宿费260元/生·月；二级幼儿园保教费600元/生·月，住宿费230元/生·月；三级幼儿园保教费500元/生·月，住宿费200元/生·月；四级幼儿园保教费450元/生·月，住宿费180元/生·月；简易园保教费200元/生·月。</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中央</w:t>
            </w: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《幼儿园管理条例》，发改价格〔2011〕3207号，湘发改价费〔2017〕771号，湘发改价费〔2018〕531号，教财〔2020〕5号，湘发改价费规〔2020〕659号，长发改价费[2020]265号</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p>
        </w:tc>
      </w:tr>
      <w:tr>
        <w:tblPrEx>
          <w:tblLayout w:type="fixed"/>
          <w:tblCellMar>
            <w:top w:w="0" w:type="dxa"/>
            <w:left w:w="108" w:type="dxa"/>
            <w:bottom w:w="0" w:type="dxa"/>
            <w:right w:w="108" w:type="dxa"/>
          </w:tblCellMar>
        </w:tblPrEx>
        <w:trPr>
          <w:trHeight w:val="567" w:hRule="atLeast"/>
        </w:trPr>
        <w:tc>
          <w:tcPr>
            <w:tcW w:w="5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left"/>
              <w:rPr>
                <w:rFonts w:eastAsia="仿宋_GB2312"/>
                <w:b/>
                <w:bCs/>
                <w:color w:val="000000"/>
                <w:kern w:val="0"/>
                <w:szCs w:val="21"/>
              </w:rPr>
            </w:pPr>
          </w:p>
        </w:tc>
        <w:tc>
          <w:tcPr>
            <w:tcW w:w="9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left"/>
              <w:rPr>
                <w:rFonts w:eastAsia="仿宋_GB2312"/>
                <w:b/>
                <w:bCs/>
                <w:color w:val="000000"/>
                <w:kern w:val="0"/>
                <w:szCs w:val="21"/>
              </w:rPr>
            </w:pP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2、普通高中学费、住宿费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省级示范高中学费1000元/生·期；其他高中学费800元/生·期。</w:t>
            </w:r>
            <w:r>
              <w:rPr>
                <w:rFonts w:eastAsia="仿宋_GB2312"/>
                <w:color w:val="000000"/>
                <w:kern w:val="0"/>
                <w:szCs w:val="21"/>
              </w:rPr>
              <w:br w:type="textWrapping"/>
            </w:r>
            <w:r>
              <w:rPr>
                <w:rFonts w:eastAsia="仿宋_GB2312"/>
                <w:color w:val="000000"/>
                <w:kern w:val="0"/>
                <w:szCs w:val="21"/>
              </w:rPr>
              <w:t>住宿费详见文件。</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中央</w:t>
            </w: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教财〔2003〕4号,教财〔1996〕101号，湘发改价费〔2017〕771号，湘发改价费〔2017〕915号,湘发改价费〔2018〕531号，教财〔2020〕5号</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p>
        </w:tc>
      </w:tr>
      <w:tr>
        <w:tblPrEx>
          <w:tblLayout w:type="fixed"/>
          <w:tblCellMar>
            <w:top w:w="0" w:type="dxa"/>
            <w:left w:w="108" w:type="dxa"/>
            <w:bottom w:w="0" w:type="dxa"/>
            <w:right w:w="108" w:type="dxa"/>
          </w:tblCellMar>
        </w:tblPrEx>
        <w:trPr>
          <w:trHeight w:val="567"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二</w:t>
            </w:r>
          </w:p>
        </w:tc>
        <w:tc>
          <w:tcPr>
            <w:tcW w:w="920"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住房城</w:t>
            </w:r>
            <w:r>
              <w:rPr>
                <w:rFonts w:eastAsia="仿宋_GB2312"/>
                <w:b/>
                <w:bCs/>
                <w:color w:val="000000"/>
                <w:kern w:val="0"/>
                <w:szCs w:val="21"/>
              </w:rPr>
              <w:br w:type="textWrapping"/>
            </w:r>
            <w:r>
              <w:rPr>
                <w:rFonts w:eastAsia="仿宋_GB2312"/>
                <w:b/>
                <w:bCs/>
                <w:color w:val="000000"/>
                <w:kern w:val="0"/>
                <w:szCs w:val="21"/>
              </w:rPr>
              <w:t>乡建设</w:t>
            </w: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1、城市道路占用、挖掘修复费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见文件</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中央</w:t>
            </w: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《城市道路管理条例》，建城〔1993〕410号，财税〔2015〕68号，湘发改价费规〔2021〕48号</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p>
        </w:tc>
      </w:tr>
      <w:tr>
        <w:tblPrEx>
          <w:tblLayout w:type="fixed"/>
          <w:tblCellMar>
            <w:top w:w="0" w:type="dxa"/>
            <w:left w:w="108" w:type="dxa"/>
            <w:bottom w:w="0" w:type="dxa"/>
            <w:right w:w="108" w:type="dxa"/>
          </w:tblCellMar>
        </w:tblPrEx>
        <w:trPr>
          <w:trHeight w:val="567" w:hRule="atLeast"/>
        </w:trPr>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三</w:t>
            </w:r>
          </w:p>
        </w:tc>
        <w:tc>
          <w:tcPr>
            <w:tcW w:w="9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卫生</w:t>
            </w:r>
            <w:r>
              <w:rPr>
                <w:rFonts w:eastAsia="仿宋_GB2312"/>
                <w:b/>
                <w:bCs/>
                <w:color w:val="000000"/>
                <w:kern w:val="0"/>
                <w:szCs w:val="21"/>
              </w:rPr>
              <w:br w:type="textWrapping"/>
            </w:r>
            <w:r>
              <w:rPr>
                <w:rFonts w:eastAsia="仿宋_GB2312"/>
                <w:b/>
                <w:bCs/>
                <w:color w:val="000000"/>
                <w:kern w:val="0"/>
                <w:szCs w:val="21"/>
              </w:rPr>
              <w:t>健康</w:t>
            </w: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1、预防接种服务费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20元/支</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中央</w:t>
            </w: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《疫苗流通和预防接种管理条例》，财税〔2016〕14号，财综〔2008〕47号,发改价格〔2016〕488号，湘财综〔2016〕48号，湘发改价费〔2017〕839号</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对二类疫苗收取</w:t>
            </w:r>
          </w:p>
        </w:tc>
      </w:tr>
      <w:tr>
        <w:tblPrEx>
          <w:tblLayout w:type="fixed"/>
          <w:tblCellMar>
            <w:top w:w="0" w:type="dxa"/>
            <w:left w:w="108" w:type="dxa"/>
            <w:bottom w:w="0" w:type="dxa"/>
            <w:right w:w="108" w:type="dxa"/>
          </w:tblCellMar>
        </w:tblPrEx>
        <w:trPr>
          <w:trHeight w:val="567" w:hRule="atLeast"/>
        </w:trPr>
        <w:tc>
          <w:tcPr>
            <w:tcW w:w="5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left"/>
              <w:rPr>
                <w:rFonts w:eastAsia="仿宋_GB2312"/>
                <w:b/>
                <w:bCs/>
                <w:color w:val="000000"/>
                <w:kern w:val="0"/>
                <w:szCs w:val="21"/>
              </w:rPr>
            </w:pPr>
          </w:p>
        </w:tc>
        <w:tc>
          <w:tcPr>
            <w:tcW w:w="9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left"/>
              <w:rPr>
                <w:rFonts w:eastAsia="仿宋_GB2312"/>
                <w:b/>
                <w:bCs/>
                <w:color w:val="000000"/>
                <w:kern w:val="0"/>
                <w:szCs w:val="21"/>
              </w:rPr>
            </w:pP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5</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2、疫苗储存运输费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9.5元/支</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省级</w:t>
            </w:r>
          </w:p>
        </w:tc>
        <w:tc>
          <w:tcPr>
            <w:tcW w:w="2522" w:type="dxa"/>
            <w:tcBorders>
              <w:top w:val="single" w:color="auto" w:sz="4" w:space="0"/>
              <w:left w:val="nil"/>
              <w:bottom w:val="single" w:color="auto" w:sz="4" w:space="0"/>
              <w:right w:val="single" w:color="000000"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国务院令第668号，湘财综〔2016〕48号，湘发改价费〔2017〕839号，财税（2020）17号</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对二类疫苗收取</w:t>
            </w:r>
          </w:p>
        </w:tc>
      </w:tr>
      <w:tr>
        <w:tblPrEx>
          <w:tblLayout w:type="fixed"/>
          <w:tblCellMar>
            <w:top w:w="0" w:type="dxa"/>
            <w:left w:w="108" w:type="dxa"/>
            <w:bottom w:w="0" w:type="dxa"/>
            <w:right w:w="108" w:type="dxa"/>
          </w:tblCellMar>
        </w:tblPrEx>
        <w:trPr>
          <w:trHeight w:val="567" w:hRule="atLeast"/>
        </w:trPr>
        <w:tc>
          <w:tcPr>
            <w:tcW w:w="5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left"/>
              <w:rPr>
                <w:rFonts w:eastAsia="仿宋_GB2312"/>
                <w:b/>
                <w:bCs/>
                <w:color w:val="000000"/>
                <w:kern w:val="0"/>
                <w:szCs w:val="21"/>
              </w:rPr>
            </w:pPr>
          </w:p>
        </w:tc>
        <w:tc>
          <w:tcPr>
            <w:tcW w:w="9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90" w:lineRule="exact"/>
              <w:jc w:val="left"/>
              <w:rPr>
                <w:rFonts w:eastAsia="仿宋_GB2312"/>
                <w:b/>
                <w:bCs/>
                <w:color w:val="000000"/>
                <w:kern w:val="0"/>
                <w:szCs w:val="21"/>
              </w:rPr>
            </w:pP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3、新型冠状病毒核酸检测费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新型冠状病毒核酸检测费60元/人次，混合检测20元/人次。</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省级</w:t>
            </w:r>
          </w:p>
        </w:tc>
        <w:tc>
          <w:tcPr>
            <w:tcW w:w="2522" w:type="dxa"/>
            <w:tcBorders>
              <w:top w:val="single" w:color="auto" w:sz="4" w:space="0"/>
              <w:left w:val="nil"/>
              <w:bottom w:val="single" w:color="auto" w:sz="4" w:space="0"/>
              <w:right w:val="single" w:color="000000"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国发明电（2020）14号，湘财税（2020）12号，湘发改价费规〔2021〕636号</w:t>
            </w:r>
          </w:p>
        </w:tc>
        <w:tc>
          <w:tcPr>
            <w:tcW w:w="846" w:type="dxa"/>
            <w:tcBorders>
              <w:top w:val="nil"/>
              <w:left w:val="nil"/>
              <w:bottom w:val="single" w:color="auto" w:sz="4" w:space="0"/>
              <w:right w:val="single" w:color="auto" w:sz="4" w:space="0"/>
            </w:tcBorders>
            <w:shd w:val="clear" w:color="000000" w:fill="FFFFFF"/>
            <w:vAlign w:val="center"/>
          </w:tcPr>
          <w:p>
            <w:pPr>
              <w:widowControl/>
              <w:spacing w:line="290" w:lineRule="exact"/>
              <w:jc w:val="center"/>
              <w:rPr>
                <w:rFonts w:eastAsia="仿宋_GB2312"/>
                <w:color w:val="000000"/>
                <w:kern w:val="0"/>
                <w:szCs w:val="21"/>
              </w:rPr>
            </w:pPr>
            <w:r>
              <w:rPr>
                <w:rFonts w:eastAsia="仿宋_GB2312"/>
                <w:color w:val="000000"/>
                <w:kern w:val="0"/>
                <w:szCs w:val="21"/>
              </w:rPr>
              <w:t>收费单位：疾病预防控制机构</w:t>
            </w:r>
          </w:p>
        </w:tc>
      </w:tr>
      <w:tr>
        <w:tblPrEx>
          <w:tblLayout w:type="fixed"/>
          <w:tblCellMar>
            <w:top w:w="0" w:type="dxa"/>
            <w:left w:w="108" w:type="dxa"/>
            <w:bottom w:w="0" w:type="dxa"/>
            <w:right w:w="108" w:type="dxa"/>
          </w:tblCellMar>
        </w:tblPrEx>
        <w:trPr>
          <w:trHeight w:val="567"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四</w:t>
            </w:r>
          </w:p>
        </w:tc>
        <w:tc>
          <w:tcPr>
            <w:tcW w:w="920"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人力资</w:t>
            </w:r>
            <w:r>
              <w:rPr>
                <w:rFonts w:eastAsia="仿宋_GB2312"/>
                <w:b/>
                <w:bCs/>
                <w:color w:val="000000"/>
                <w:kern w:val="0"/>
                <w:szCs w:val="21"/>
              </w:rPr>
              <w:br w:type="textWrapping"/>
            </w:r>
            <w:r>
              <w:rPr>
                <w:rFonts w:eastAsia="仿宋_GB2312"/>
                <w:b/>
                <w:bCs/>
                <w:color w:val="000000"/>
                <w:kern w:val="0"/>
                <w:szCs w:val="21"/>
              </w:rPr>
              <w:t>源和社</w:t>
            </w:r>
            <w:r>
              <w:rPr>
                <w:rFonts w:eastAsia="仿宋_GB2312"/>
                <w:b/>
                <w:bCs/>
                <w:color w:val="000000"/>
                <w:kern w:val="0"/>
                <w:szCs w:val="21"/>
              </w:rPr>
              <w:br w:type="textWrapping"/>
            </w:r>
            <w:r>
              <w:rPr>
                <w:rFonts w:eastAsia="仿宋_GB2312"/>
                <w:b/>
                <w:bCs/>
                <w:color w:val="000000"/>
                <w:kern w:val="0"/>
                <w:szCs w:val="21"/>
              </w:rPr>
              <w:t>会保障</w:t>
            </w: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1、专业技术职务任职资格评审费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见文件</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省级</w:t>
            </w:r>
          </w:p>
        </w:tc>
        <w:tc>
          <w:tcPr>
            <w:tcW w:w="2522" w:type="dxa"/>
            <w:tcBorders>
              <w:top w:val="single" w:color="auto" w:sz="4" w:space="0"/>
              <w:left w:val="nil"/>
              <w:bottom w:val="single" w:color="auto" w:sz="4" w:space="0"/>
              <w:right w:val="single" w:color="000000"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湘办发〔2017〕33号，湘发改价费〔2018〕224号</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hint="eastAsia" w:eastAsia="仿宋_GB2312"/>
                <w:color w:val="000000"/>
                <w:kern w:val="0"/>
                <w:szCs w:val="21"/>
              </w:rPr>
            </w:pPr>
          </w:p>
        </w:tc>
      </w:tr>
      <w:tr>
        <w:tblPrEx>
          <w:tblLayout w:type="fixed"/>
          <w:tblCellMar>
            <w:top w:w="0" w:type="dxa"/>
            <w:left w:w="108" w:type="dxa"/>
            <w:bottom w:w="0" w:type="dxa"/>
            <w:right w:w="108" w:type="dxa"/>
          </w:tblCellMar>
        </w:tblPrEx>
        <w:trPr>
          <w:trHeight w:val="567"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五</w:t>
            </w:r>
          </w:p>
        </w:tc>
        <w:tc>
          <w:tcPr>
            <w:tcW w:w="920"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b/>
                <w:bCs/>
                <w:color w:val="000000"/>
                <w:kern w:val="0"/>
                <w:szCs w:val="21"/>
              </w:rPr>
            </w:pPr>
            <w:r>
              <w:rPr>
                <w:rFonts w:eastAsia="仿宋_GB2312"/>
                <w:b/>
                <w:bCs/>
                <w:color w:val="000000"/>
                <w:kern w:val="0"/>
                <w:szCs w:val="21"/>
              </w:rPr>
              <w:t>各有关</w:t>
            </w:r>
            <w:r>
              <w:rPr>
                <w:rFonts w:eastAsia="仿宋_GB2312"/>
                <w:b/>
                <w:bCs/>
                <w:color w:val="000000"/>
                <w:kern w:val="0"/>
                <w:szCs w:val="21"/>
              </w:rPr>
              <w:br w:type="textWrapping"/>
            </w:r>
            <w:r>
              <w:rPr>
                <w:rFonts w:eastAsia="仿宋_GB2312"/>
                <w:b/>
                <w:bCs/>
                <w:color w:val="000000"/>
                <w:kern w:val="0"/>
                <w:szCs w:val="21"/>
              </w:rPr>
              <w:t>部门</w:t>
            </w:r>
          </w:p>
        </w:tc>
        <w:tc>
          <w:tcPr>
            <w:tcW w:w="698"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8</w:t>
            </w:r>
          </w:p>
        </w:tc>
        <w:tc>
          <w:tcPr>
            <w:tcW w:w="1358" w:type="dxa"/>
            <w:tcBorders>
              <w:top w:val="nil"/>
              <w:left w:val="nil"/>
              <w:bottom w:val="single" w:color="auto" w:sz="4" w:space="0"/>
              <w:right w:val="single" w:color="auto" w:sz="4" w:space="0"/>
            </w:tcBorders>
            <w:shd w:val="clear" w:color="auto" w:fill="auto"/>
            <w:vAlign w:val="center"/>
          </w:tcPr>
          <w:p>
            <w:pPr>
              <w:widowControl/>
              <w:spacing w:line="290" w:lineRule="exact"/>
              <w:jc w:val="left"/>
              <w:rPr>
                <w:rFonts w:eastAsia="仿宋_GB2312"/>
                <w:color w:val="000000"/>
                <w:kern w:val="0"/>
                <w:szCs w:val="21"/>
              </w:rPr>
            </w:pPr>
            <w:r>
              <w:rPr>
                <w:rFonts w:eastAsia="仿宋_GB2312"/>
                <w:color w:val="000000"/>
                <w:kern w:val="0"/>
                <w:szCs w:val="21"/>
              </w:rPr>
              <w:t>1、考试考务费</w:t>
            </w:r>
          </w:p>
        </w:tc>
        <w:tc>
          <w:tcPr>
            <w:tcW w:w="243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见文件</w:t>
            </w:r>
          </w:p>
        </w:tc>
        <w:tc>
          <w:tcPr>
            <w:tcW w:w="75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中央</w:t>
            </w:r>
          </w:p>
        </w:tc>
        <w:tc>
          <w:tcPr>
            <w:tcW w:w="2522" w:type="dxa"/>
            <w:tcBorders>
              <w:top w:val="single" w:color="auto" w:sz="4" w:space="0"/>
              <w:left w:val="nil"/>
              <w:bottom w:val="single" w:color="auto" w:sz="4" w:space="0"/>
              <w:right w:val="single" w:color="000000" w:sz="4" w:space="0"/>
            </w:tcBorders>
            <w:shd w:val="clear" w:color="auto" w:fill="auto"/>
            <w:vAlign w:val="center"/>
          </w:tcPr>
          <w:p>
            <w:pPr>
              <w:widowControl/>
              <w:spacing w:line="290" w:lineRule="exact"/>
              <w:jc w:val="center"/>
              <w:rPr>
                <w:rFonts w:eastAsia="仿宋_GB2312"/>
                <w:color w:val="000000"/>
                <w:kern w:val="0"/>
                <w:szCs w:val="21"/>
              </w:rPr>
            </w:pPr>
            <w:r>
              <w:rPr>
                <w:rFonts w:eastAsia="仿宋_GB2312"/>
                <w:color w:val="000000"/>
                <w:kern w:val="0"/>
                <w:szCs w:val="21"/>
              </w:rPr>
              <w:t>《湖南省考试考务费目录清单》，</w:t>
            </w:r>
            <w:r>
              <w:rPr>
                <w:rFonts w:eastAsia="仿宋_GB2312"/>
                <w:color w:val="000000"/>
                <w:kern w:val="0"/>
                <w:szCs w:val="21"/>
              </w:rPr>
              <w:br w:type="textWrapping"/>
            </w:r>
            <w:r>
              <w:rPr>
                <w:rFonts w:eastAsia="仿宋_GB2312"/>
                <w:color w:val="000000"/>
                <w:kern w:val="0"/>
                <w:szCs w:val="21"/>
              </w:rPr>
              <w:t>收费标准见各执收部门系统文件</w:t>
            </w:r>
          </w:p>
        </w:tc>
        <w:tc>
          <w:tcPr>
            <w:tcW w:w="846"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eastAsia="仿宋_GB2312"/>
                <w:color w:val="000000"/>
                <w:kern w:val="0"/>
                <w:szCs w:val="21"/>
              </w:rPr>
            </w:pPr>
          </w:p>
        </w:tc>
      </w:tr>
      <w:tr>
        <w:tblPrEx>
          <w:tblLayout w:type="fixed"/>
          <w:tblCellMar>
            <w:top w:w="0" w:type="dxa"/>
            <w:left w:w="108" w:type="dxa"/>
            <w:bottom w:w="0" w:type="dxa"/>
            <w:right w:w="108" w:type="dxa"/>
          </w:tblCellMar>
        </w:tblPrEx>
        <w:trPr>
          <w:trHeight w:val="567" w:hRule="atLeast"/>
        </w:trPr>
        <w:tc>
          <w:tcPr>
            <w:tcW w:w="10113"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90" w:lineRule="exact"/>
              <w:jc w:val="left"/>
              <w:rPr>
                <w:rFonts w:eastAsia="仿宋_GB2312"/>
                <w:kern w:val="0"/>
                <w:szCs w:val="21"/>
              </w:rPr>
            </w:pPr>
            <w:r>
              <w:rPr>
                <w:rFonts w:eastAsia="仿宋_GB2312"/>
                <w:kern w:val="0"/>
                <w:szCs w:val="21"/>
              </w:rPr>
              <w:t>备注:1、本清单为雨花区本级执收的行政事业性收费项目。</w:t>
            </w:r>
            <w:r>
              <w:rPr>
                <w:rFonts w:eastAsia="仿宋_GB2312"/>
                <w:kern w:val="0"/>
                <w:szCs w:val="21"/>
              </w:rPr>
              <w:br w:type="textWrapping"/>
            </w:r>
            <w:r>
              <w:rPr>
                <w:rFonts w:eastAsia="仿宋_GB2312"/>
                <w:kern w:val="0"/>
                <w:szCs w:val="21"/>
              </w:rPr>
              <w:t xml:space="preserve">     2、排污权有偿使用费、河道砂石资源有偿使用费属于国有资源有偿使用收入，不作为行政事业性收费管理。</w:t>
            </w:r>
            <w:r>
              <w:rPr>
                <w:rFonts w:eastAsia="仿宋_GB2312"/>
                <w:kern w:val="0"/>
                <w:szCs w:val="21"/>
              </w:rPr>
              <w:br w:type="textWrapping"/>
            </w:r>
            <w:r>
              <w:rPr>
                <w:rFonts w:eastAsia="仿宋_GB2312"/>
                <w:kern w:val="0"/>
                <w:szCs w:val="21"/>
              </w:rPr>
              <w:t xml:space="preserve">     3、人防工程及设施毁损赔（补）偿费不再作为行政事业性收费管理。对人防工程及设施造成毁损的，应按照《中华人民共和国人民防空法》的规定，依法赔偿损失。</w:t>
            </w:r>
            <w:r>
              <w:rPr>
                <w:rFonts w:eastAsia="仿宋_GB2312"/>
                <w:kern w:val="0"/>
                <w:szCs w:val="21"/>
              </w:rPr>
              <w:br w:type="textWrapping"/>
            </w:r>
            <w:r>
              <w:rPr>
                <w:rFonts w:eastAsia="仿宋_GB2312"/>
                <w:kern w:val="0"/>
                <w:szCs w:val="21"/>
              </w:rPr>
              <w:t xml:space="preserve">     4、破损公路及公路设施赔补偿费和公路占用费不再作为行政事业性收费项目管理，改作国有资源（资产）有偿使用收入管理。造成公路及公路设施破损以及占用公路的，应按照《中华人民共和国公路法》、交通运输部《路政管理规定》，依法进行赔偿或补偿。</w:t>
            </w:r>
            <w:r>
              <w:rPr>
                <w:rFonts w:eastAsia="仿宋_GB2312"/>
                <w:kern w:val="0"/>
                <w:szCs w:val="21"/>
              </w:rPr>
              <w:br w:type="textWrapping"/>
            </w:r>
            <w:r>
              <w:rPr>
                <w:rFonts w:eastAsia="仿宋_GB2312"/>
                <w:kern w:val="0"/>
                <w:szCs w:val="21"/>
              </w:rPr>
              <w:t xml:space="preserve">     5、2021年7月20日，《中共中央、国务院关于优化生育政策促进人口长期均衡发展的决定》公布取消卫生健康部门执收的社会抚养费，具体以正式文件通知为准。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479FE"/>
    <w:rsid w:val="6E24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2021-11-22T07:54:00Z</dcterms:created>
  <dc:creator>区发改局</dc:creator>
  <cp:lastModifiedBy>区发改局</cp:lastModifiedBy>
  <dcterms:modified xsi:type="dcterms:W3CDTF">2021-11-22T07:56:07Z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